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iova-20260630x10q.htm"/>
        <w:bookmarkStart w:id="1" w:name="ksiova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6a0085ae_cda5_48ee_a263_56f5ad809cde"/>
      <w:bookmarkEnd w:id="2"/>
      <w:r>
        <w:rPr>
          <w:rFonts w:ascii="Times New Roman;Times;serif" w:hAnsi="Times New Roman;Times;serif"/>
          <w:b/>
          <w:sz w:val="20"/>
        </w:rPr>
        <w:t xml:space="preserve">UNITED STATES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left"/>
        <w:rPr/>
      </w:pPr>
      <w:r>
        <w:rPr/>
        <w:t>​</w:t>
      </w:r>
    </w:p>
    <w:tbl>
      <w:tblPr>
        <w:tblW w:w="9827" w:type="dxa"/>
        <w:jc w:val="left"/>
        <w:tblInd w:w="0" w:type="dxa"/>
        <w:tblLayout w:type="fixed"/>
        <w:tblCellMar>
          <w:top w:w="0" w:type="dxa"/>
          <w:left w:w="0" w:type="dxa"/>
          <w:bottom w:w="0" w:type="dxa"/>
          <w:right w:w="0" w:type="dxa"/>
        </w:tblCellMar>
      </w:tblPr>
      <w:tblGrid>
        <w:gridCol w:w="331"/>
        <w:gridCol w:w="9496"/>
      </w:tblGrid>
      <w:tr>
        <w:trPr/>
        <w:tc>
          <w:tcPr>
            <w:tcW w:w="331" w:type="dxa"/>
            <w:tcBorders/>
            <w:vAlign w:val="center"/>
          </w:tcPr>
          <w:p>
            <w:pPr>
              <w:pStyle w:val="TableContents"/>
              <w:bidi w:val="0"/>
              <w:spacing w:before="0" w:after="0"/>
              <w:jc w:val="left"/>
              <w:rPr/>
            </w:pPr>
            <w:r>
              <w:rPr/>
              <w:t>☑</w:t>
            </w:r>
          </w:p>
        </w:tc>
        <w:tc>
          <w:tcPr>
            <w:tcW w:w="94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June 30, 2026</w:t>
      </w:r>
    </w:p>
    <w:p>
      <w:pPr>
        <w:pStyle w:val="TextBody"/>
        <w:bidi w:val="0"/>
        <w:spacing w:before="0" w:after="0"/>
        <w:ind w:left="0" w:right="0" w:hanging="0"/>
        <w:jc w:val="left"/>
        <w:rPr/>
      </w:pPr>
      <w:r>
        <w:rPr/>
        <w:t>​</w:t>
      </w:r>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 001-36860</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IOVANCE BIOTHERAPEUTICS,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issuer as specified in its charter)</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 w:name="Tc_pR4cg7X9FkCfoprqdA0Qzw_3_1"/>
      <w:bookmarkStart w:id="4" w:name="Tc_eHI0WzIcY0W8KP2jZh9weQ_3_0"/>
      <w:bookmarkStart w:id="5" w:name="Tc_WJVR7OzuE0e1GHs5orqvrA_2_1"/>
      <w:bookmarkStart w:id="6" w:name="Tc_nEv7sg3xEU6NxzAfvPO1hg_2_0"/>
      <w:bookmarkStart w:id="7" w:name="_d882566f_70dc_4132_a905_e8c42962db51"/>
      <w:bookmarkStart w:id="8" w:name="Tc_pR4cg7X9FkCfoprqdA0Qzw_3_1"/>
      <w:bookmarkStart w:id="9" w:name="Tc_eHI0WzIcY0W8KP2jZh9weQ_3_0"/>
      <w:bookmarkStart w:id="10" w:name="Tc_WJVR7OzuE0e1GHs5orqvrA_2_1"/>
      <w:bookmarkStart w:id="11" w:name="Tc_nEv7sg3xEU6NxzAfvPO1hg_2_0"/>
      <w:bookmarkStart w:id="12" w:name="_d882566f_70dc_4132_a905_e8c42962db51"/>
      <w:bookmarkEnd w:id="8"/>
      <w:bookmarkEnd w:id="9"/>
      <w:bookmarkEnd w:id="10"/>
      <w:bookmarkEnd w:id="11"/>
      <w:bookmarkEnd w:id="12"/>
    </w:p>
    <w:tbl>
      <w:tblPr>
        <w:tblW w:w="4562" w:type="dxa"/>
        <w:jc w:val="left"/>
        <w:tblInd w:w="0" w:type="dxa"/>
        <w:tblLayout w:type="fixed"/>
        <w:tblCellMar>
          <w:top w:w="0" w:type="dxa"/>
          <w:left w:w="0" w:type="dxa"/>
          <w:bottom w:w="0" w:type="dxa"/>
          <w:right w:w="0" w:type="dxa"/>
        </w:tblCellMar>
      </w:tblPr>
      <w:tblGrid>
        <w:gridCol w:w="2581"/>
        <w:gridCol w:w="1981"/>
      </w:tblGrid>
      <w:tr>
        <w:trPr/>
        <w:tc>
          <w:tcPr>
            <w:tcW w:w="2581"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75-3254381</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1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9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825 Industrial Road, Suite 100, San Carlos, CA</w:t>
      </w:r>
      <w:r>
        <w:rPr>
          <w:rFonts w:ascii="Times New Roman;Times;serif" w:hAnsi="Times New Roman;Times;serif"/>
          <w:sz w:val="20"/>
        </w:rPr>
        <w:t xml:space="preserve"> </w:t>
      </w:r>
      <w:r>
        <w:rPr>
          <w:rFonts w:ascii="Times New Roman;Times;serif" w:hAnsi="Times New Roman;Times;serif"/>
          <w:b/>
          <w:sz w:val="20"/>
        </w:rPr>
        <w:t>94070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(650) 260-7120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0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00"/>
        <w:ind w:left="0" w:right="0" w:firstLine="720"/>
        <w:jc w:val="left"/>
        <w:rPr/>
      </w:pPr>
      <w:r>
        <w:rPr/>
        <w:t>​</w:t>
      </w:r>
    </w:p>
    <w:p>
      <w:pPr>
        <w:pStyle w:val="TextBody"/>
        <w:bidi w:val="0"/>
        <w:spacing w:before="0" w:after="0"/>
        <w:ind w:left="0" w:right="0" w:firstLine="72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200"/>
        <w:ind w:left="0" w:right="0" w:firstLine="720"/>
        <w:jc w:val="left"/>
        <w:rPr/>
      </w:pPr>
      <w:r>
        <w:rPr/>
        <w:t>​</w:t>
      </w:r>
    </w:p>
    <w:p>
      <w:pPr>
        <w:pStyle w:val="Normal"/>
        <w:bidi w:val="0"/>
        <w:spacing w:before="0" w:after="0"/>
        <w:jc w:val="left"/>
        <w:rPr>
          <w:sz w:val="4"/>
          <w:szCs w:val="4"/>
        </w:rPr>
      </w:pPr>
      <w:r>
        <w:rPr>
          <w:sz w:val="4"/>
          <w:szCs w:val="4"/>
        </w:rPr>
      </w:r>
      <w:bookmarkStart w:id="13" w:name="Tc_AK823b-jDk-964ImBe-G6A_1_4"/>
      <w:bookmarkStart w:id="14" w:name="Tc_lVupFalNsUSYBM_k8RsLtw_0_4"/>
      <w:bookmarkStart w:id="15" w:name="Tc_wg-NtjrwB0i-uDhtQr-NCw_0_2"/>
      <w:bookmarkStart w:id="16" w:name="Tc_KXCY5B7WmU-rRiSeSmAzKg_0_0"/>
      <w:bookmarkStart w:id="17" w:name="_08b9b54f_cc70_4f2a_8240_a990b4fa2a68"/>
      <w:bookmarkStart w:id="18" w:name="Tc_AK823b-jDk-964ImBe-G6A_1_4"/>
      <w:bookmarkStart w:id="19" w:name="Tc_lVupFalNsUSYBM_k8RsLtw_0_4"/>
      <w:bookmarkStart w:id="20" w:name="Tc_wg-NtjrwB0i-uDhtQr-NCw_0_2"/>
      <w:bookmarkStart w:id="21" w:name="Tc_KXCY5B7WmU-rRiSeSmAzKg_0_0"/>
      <w:bookmarkStart w:id="22" w:name="_08b9b54f_cc70_4f2a_8240_a990b4fa2a68"/>
      <w:bookmarkEnd w:id="18"/>
      <w:bookmarkEnd w:id="19"/>
      <w:bookmarkEnd w:id="20"/>
      <w:bookmarkEnd w:id="21"/>
      <w:bookmarkEnd w:id="22"/>
    </w:p>
    <w:tbl>
      <w:tblPr>
        <w:tblW w:w="9560" w:type="dxa"/>
        <w:jc w:val="left"/>
        <w:tblInd w:w="0" w:type="dxa"/>
        <w:tblLayout w:type="fixed"/>
        <w:tblCellMar>
          <w:top w:w="0" w:type="dxa"/>
          <w:left w:w="0" w:type="dxa"/>
          <w:bottom w:w="28" w:type="dxa"/>
          <w:right w:w="0" w:type="dxa"/>
        </w:tblCellMar>
      </w:tblPr>
      <w:tblGrid>
        <w:gridCol w:w="3466"/>
        <w:gridCol w:w="286"/>
        <w:gridCol w:w="1696"/>
        <w:gridCol w:w="286"/>
        <w:gridCol w:w="3826"/>
      </w:tblGrid>
      <w:tr>
        <w:trPr/>
        <w:tc>
          <w:tcPr>
            <w:tcW w:w="346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286" w:type="dxa"/>
            <w:tcBorders/>
            <w:tcMar>
              <w:bottom w:w="0" w:type="dxa"/>
            </w:tcMar>
            <w:vAlign w:val="center"/>
          </w:tcPr>
          <w:p>
            <w:pPr>
              <w:pStyle w:val="TableContents"/>
              <w:bidi w:val="0"/>
              <w:spacing w:before="0" w:after="0"/>
              <w:ind w:left="0" w:right="0" w:hanging="0"/>
              <w:jc w:val="left"/>
              <w:rPr/>
            </w:pPr>
            <w:r>
              <w:rPr/>
              <w:t>  ​ ​</w:t>
            </w:r>
          </w:p>
        </w:tc>
        <w:tc>
          <w:tcPr>
            <w:tcW w:w="169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286" w:type="dxa"/>
            <w:tcBorders/>
            <w:tcMar>
              <w:bottom w:w="0" w:type="dxa"/>
            </w:tcMar>
            <w:vAlign w:val="center"/>
          </w:tcPr>
          <w:p>
            <w:pPr>
              <w:pStyle w:val="TableContents"/>
              <w:bidi w:val="0"/>
              <w:spacing w:before="0" w:after="0"/>
              <w:ind w:left="0" w:right="0" w:hanging="0"/>
              <w:jc w:val="left"/>
              <w:rPr/>
            </w:pPr>
            <w:r>
              <w:rPr/>
              <w:t>  ​ ​</w:t>
            </w:r>
          </w:p>
        </w:tc>
        <w:tc>
          <w:tcPr>
            <w:tcW w:w="38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$0.000041666</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169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IOVA</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3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July 29, 2026, the issuer had 452,971,432 shares of common stock, par value $0.000041666 per share, outstanding.</w:t>
      </w:r>
    </w:p>
    <w:p>
      <w:pPr>
        <w:pStyle w:val="TextBody"/>
        <w:bidi w:val="0"/>
        <w:spacing w:before="0" w:after="200"/>
        <w:ind w:left="0" w:right="0" w:firstLine="720"/>
        <w:jc w:val="left"/>
        <w:rPr/>
      </w:pPr>
      <w:r>
        <w:rPr/>
        <w:t>​</w:t>
      </w:r>
    </w:p>
    <w:p>
      <w:pPr>
        <w:pStyle w:val="TextBody"/>
        <w:pBdr>
          <w:top w:val="single" w:sz="8" w:space="1" w:color="000000"/>
          <w:bottom w:val="single" w:sz="24" w:space="1" w:color="000000"/>
        </w:pBdr>
        <w:bidi w:val="0"/>
        <w:spacing w:before="0" w:after="200"/>
        <w:ind w:left="0" w:right="0" w:firstLine="720"/>
        <w:jc w:val="left"/>
        <w:rPr/>
      </w:pPr>
      <w:r>
        <w:rPr/>
        <w:t>​</w:t>
      </w:r>
    </w:p>
    <w:p>
      <w:pPr>
        <w:pStyle w:val="TextBody"/>
        <w:bidi w:val="0"/>
        <w:spacing w:before="0" w:after="20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_44200a80_52d7_49c4_a41f_b32cbbc11d36"/>
      <w:bookmarkEnd w:id="23"/>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Table of Contents</w:t>
      </w:r>
    </w:p>
    <w:p>
      <w:pPr>
        <w:pStyle w:val="TextBody"/>
        <w:bidi w:val="0"/>
        <w:spacing w:before="0" w:after="0"/>
        <w:ind w:left="0" w:right="0" w:hanging="0"/>
        <w:jc w:val="center"/>
        <w:rPr/>
      </w:pPr>
      <w:r>
        <w:rPr/>
        <w:t> </w:t>
      </w:r>
    </w:p>
    <w:tbl>
      <w:tblPr>
        <w:tblW w:w="8733" w:type="dxa"/>
        <w:jc w:val="left"/>
        <w:tblInd w:w="0" w:type="dxa"/>
        <w:tblLayout w:type="fixed"/>
        <w:tblCellMar>
          <w:top w:w="0" w:type="dxa"/>
          <w:left w:w="0" w:type="dxa"/>
          <w:bottom w:w="0" w:type="dxa"/>
          <w:right w:w="0" w:type="dxa"/>
        </w:tblCellMar>
      </w:tblPr>
      <w:tblGrid>
        <w:gridCol w:w="811"/>
        <w:gridCol w:w="7411"/>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7411"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222" w:type="dxa"/>
            <w:gridSpan w:val="2"/>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222" w:type="dxa"/>
            <w:gridSpan w:val="2"/>
            <w:tcBorders/>
            <w:shd w:fill="CCEEFF" w:val="clear"/>
            <w:vAlign w:val="center"/>
          </w:tcPr>
          <w:p>
            <w:pPr>
              <w:pStyle w:val="TableContents"/>
              <w:bidi w:val="0"/>
              <w:spacing w:before="0" w:after="0"/>
              <w:ind w:left="0" w:right="0" w:hanging="0"/>
              <w:jc w:val="left"/>
              <w:rPr/>
            </w:pPr>
            <w:hyperlink w:anchor="PARTIFINANCIALINFORMATION_717357">
              <w:r>
                <w:rPr>
                  <w:rStyle w:val="InternetLink"/>
                  <w:rFonts w:ascii="Times New Roman;Times;serif" w:hAnsi="Times New Roman;Times;serif"/>
                  <w:b w:val="false"/>
                  <w:i w:val="false"/>
                  <w:caps w:val="false"/>
                  <w:smallCaps w:val="false"/>
                  <w:sz w:val="20"/>
                </w:rPr>
                <w:t>PART I FINANCIAL INFORMATION</w:t>
              </w:r>
            </w:hyperlink>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411" w:type="dxa"/>
            <w:tcBorders/>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41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4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shd w:fill="CCEEFF" w:val="clear"/>
            <w:vAlign w:val="center"/>
          </w:tcPr>
          <w:p>
            <w:pPr>
              <w:pStyle w:val="TableContents"/>
              <w:bidi w:val="0"/>
              <w:spacing w:before="0" w:after="0"/>
              <w:ind w:left="0" w:right="0" w:hanging="0"/>
              <w:jc w:val="left"/>
              <w:rPr/>
            </w:pPr>
            <w:hyperlink w:anchor="Item4ControlsandProcedures_270789">
              <w:r>
                <w:rPr>
                  <w:rStyle w:val="InternetLink"/>
                  <w:rFonts w:ascii="Times New Roman;Times;serif" w:hAnsi="Times New Roman;Times;serif"/>
                  <w:b w:val="false"/>
                  <w:i w:val="false"/>
                  <w:caps w:val="false"/>
                  <w:smallCaps w:val="false"/>
                  <w:sz w:val="20"/>
                </w:rPr>
                <w:t>Item 4.</w:t>
              </w:r>
            </w:hyperlink>
          </w:p>
        </w:tc>
        <w:tc>
          <w:tcPr>
            <w:tcW w:w="7411" w:type="dxa"/>
            <w:tcBorders/>
            <w:shd w:fill="CCEEFF" w:val="clear"/>
            <w:vAlign w:val="center"/>
          </w:tcPr>
          <w:p>
            <w:pPr>
              <w:pStyle w:val="TableContents"/>
              <w:bidi w:val="0"/>
              <w:spacing w:before="0" w:after="0"/>
              <w:ind w:left="0" w:right="0" w:hanging="0"/>
              <w:jc w:val="left"/>
              <w:rPr/>
            </w:pPr>
            <w:hyperlink w:anchor="Item4ControlsandProcedures_270789">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222" w:type="dxa"/>
            <w:gridSpan w:val="2"/>
            <w:tcBorders/>
            <w:vAlign w:val="center"/>
          </w:tcPr>
          <w:p>
            <w:pPr>
              <w:pStyle w:val="TableContents"/>
              <w:bidi w:val="0"/>
              <w:spacing w:before="0" w:after="0"/>
              <w:ind w:left="0" w:right="0" w:hanging="0"/>
              <w:jc w:val="left"/>
              <w:rPr/>
            </w:pPr>
            <w:hyperlink w:anchor="PARTIIOTHERINFORMATION_407750">
              <w:r>
                <w:rPr>
                  <w:rStyle w:val="InternetLink"/>
                  <w:rFonts w:ascii="Times New Roman;Times;serif" w:hAnsi="Times New Roman;Times;serif"/>
                  <w:b w:val="false"/>
                  <w:i w:val="false"/>
                  <w:caps w:val="false"/>
                  <w:smallCaps w:val="false"/>
                  <w:sz w:val="20"/>
                </w:rPr>
                <w:t>PART II OTHER INFORMATION</w:t>
              </w:r>
            </w:hyperlink>
          </w:p>
        </w:tc>
        <w:tc>
          <w:tcPr>
            <w:tcW w:w="511" w:type="dxa"/>
            <w:tcBorders/>
            <w:vAlign w:val="center"/>
          </w:tcPr>
          <w:p>
            <w:pPr>
              <w:pStyle w:val="TableContents"/>
              <w:bidi w:val="0"/>
              <w:spacing w:before="0" w:after="0"/>
              <w:ind w:left="0" w:right="0" w:hanging="0"/>
              <w:jc w:val="right"/>
              <w:rPr/>
            </w:pPr>
            <w:r>
              <w:rPr/>
              <w:t>​</w:t>
            </w:r>
          </w:p>
        </w:tc>
      </w:tr>
      <w:tr>
        <w:trPr/>
        <w:tc>
          <w:tcPr>
            <w:tcW w:w="811" w:type="dxa"/>
            <w:tcBorders/>
            <w:shd w:fill="CCEEFF" w:val="clear"/>
            <w:vAlign w:val="center"/>
          </w:tcPr>
          <w:p>
            <w:pPr>
              <w:pStyle w:val="TableContents"/>
              <w:bidi w:val="0"/>
              <w:spacing w:before="0" w:after="0"/>
              <w:ind w:left="0" w:right="0" w:hanging="0"/>
              <w:jc w:val="left"/>
              <w:rPr/>
            </w:pPr>
            <w:hyperlink w:anchor="Item1LegalProceedings_444925">
              <w:r>
                <w:rPr>
                  <w:rStyle w:val="InternetLink"/>
                  <w:rFonts w:ascii="Times New Roman;Times;serif" w:hAnsi="Times New Roman;Times;serif"/>
                  <w:b w:val="false"/>
                  <w:i w:val="false"/>
                  <w:caps w:val="false"/>
                  <w:smallCaps w:val="false"/>
                  <w:sz w:val="20"/>
                </w:rPr>
                <w:t>Item 1.</w:t>
              </w:r>
            </w:hyperlink>
          </w:p>
        </w:tc>
        <w:tc>
          <w:tcPr>
            <w:tcW w:w="7411" w:type="dxa"/>
            <w:tcBorders/>
            <w:shd w:fill="CCEEFF" w:val="clear"/>
            <w:vAlign w:val="center"/>
          </w:tcPr>
          <w:p>
            <w:pPr>
              <w:pStyle w:val="TableContents"/>
              <w:bidi w:val="0"/>
              <w:spacing w:before="0" w:after="0"/>
              <w:ind w:left="0" w:right="0" w:hanging="0"/>
              <w:jc w:val="left"/>
              <w:rPr/>
            </w:pPr>
            <w:hyperlink w:anchor="Item1LegalProceedings_444925">
              <w:r>
                <w:rPr>
                  <w:rStyle w:val="InternetLink"/>
                  <w:rFonts w:ascii="Times New Roman;Times;serif" w:hAnsi="Times New Roman;Times;serif"/>
                  <w:b w:val="false"/>
                  <w:i w:val="false"/>
                  <w:caps w:val="false"/>
                  <w:smallCaps w:val="false"/>
                  <w:sz w:val="20"/>
                </w:rPr>
                <w:t>Legal Proceedings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1ARiskFactors_493740">
              <w:r>
                <w:rPr>
                  <w:rStyle w:val="InternetLink"/>
                  <w:rFonts w:ascii="Times New Roman;Times;serif" w:hAnsi="Times New Roman;Times;serif"/>
                  <w:b w:val="false"/>
                  <w:i w:val="false"/>
                  <w:caps w:val="false"/>
                  <w:smallCaps w:val="false"/>
                  <w:sz w:val="20"/>
                </w:rPr>
                <w:t>Item 1A.</w:t>
              </w:r>
            </w:hyperlink>
          </w:p>
        </w:tc>
        <w:tc>
          <w:tcPr>
            <w:tcW w:w="7411" w:type="dxa"/>
            <w:tcBorders/>
            <w:vAlign w:val="center"/>
          </w:tcPr>
          <w:p>
            <w:pPr>
              <w:pStyle w:val="TableContents"/>
              <w:bidi w:val="0"/>
              <w:spacing w:before="0" w:after="0"/>
              <w:ind w:left="0" w:right="0" w:hanging="0"/>
              <w:jc w:val="left"/>
              <w:rPr/>
            </w:pPr>
            <w:hyperlink w:anchor="Item1ARiskFactors_493740">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shd w:fill="CCEEFF" w:val="clear"/>
            <w:vAlign w:val="center"/>
          </w:tcPr>
          <w:p>
            <w:pPr>
              <w:pStyle w:val="TableContents"/>
              <w:bidi w:val="0"/>
              <w:spacing w:before="0" w:after="0"/>
              <w:ind w:left="0" w:right="0" w:hanging="0"/>
              <w:jc w:val="left"/>
              <w:rPr/>
            </w:pPr>
            <w:hyperlink w:anchor="Item2UnregisteredSalesofSecuritiesandUse">
              <w:r>
                <w:rPr>
                  <w:rStyle w:val="InternetLink"/>
                  <w:rFonts w:ascii="Times New Roman;Times;serif" w:hAnsi="Times New Roman;Times;serif"/>
                  <w:b w:val="false"/>
                  <w:i w:val="false"/>
                  <w:caps w:val="false"/>
                  <w:smallCaps w:val="false"/>
                  <w:sz w:val="20"/>
                </w:rPr>
                <w:t>Item 2.</w:t>
              </w:r>
            </w:hyperlink>
          </w:p>
        </w:tc>
        <w:tc>
          <w:tcPr>
            <w:tcW w:w="7411" w:type="dxa"/>
            <w:tcBorders/>
            <w:shd w:fill="CCEEFF" w:val="clear"/>
            <w:vAlign w:val="center"/>
          </w:tcPr>
          <w:p>
            <w:pPr>
              <w:pStyle w:val="TableContents"/>
              <w:bidi w:val="0"/>
              <w:spacing w:before="0" w:after="0"/>
              <w:ind w:left="0" w:right="0" w:hanging="0"/>
              <w:jc w:val="left"/>
              <w:rPr/>
            </w:pPr>
            <w:hyperlink w:anchor="Item2UnregisteredSalesofSecuritiesandUse">
              <w:r>
                <w:rPr>
                  <w:rStyle w:val="InternetLink"/>
                  <w:rFonts w:ascii="Times New Roman;Times;serif" w:hAnsi="Times New Roman;Times;serif"/>
                  <w:b w:val="false"/>
                  <w:i w:val="false"/>
                  <w:caps w:val="false"/>
                  <w:smallCaps w:val="false"/>
                  <w:sz w:val="20"/>
                </w:rPr>
                <w:t>Unregistered Sales of Securities, Use of Proceeds, and Issuer Purchases of Equity Securities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11" w:type="dxa"/>
            <w:tcBorders/>
            <w:vAlign w:val="center"/>
          </w:tcPr>
          <w:p>
            <w:pPr>
              <w:pStyle w:val="TableContents"/>
              <w:bidi w:val="0"/>
              <w:spacing w:before="0" w:after="0"/>
              <w:ind w:left="0" w:right="0" w:hanging="0"/>
              <w:jc w:val="left"/>
              <w:rPr/>
            </w:pPr>
            <w:hyperlink w:anchor="Item3DefaultsUponSeniorSecurities_597206">
              <w:r>
                <w:rPr>
                  <w:rStyle w:val="InternetLink"/>
                  <w:rFonts w:ascii="Times New Roman;Times;serif" w:hAnsi="Times New Roman;Times;serif"/>
                  <w:b w:val="false"/>
                  <w:i w:val="false"/>
                  <w:caps w:val="false"/>
                  <w:smallCaps w:val="false"/>
                  <w:sz w:val="20"/>
                </w:rPr>
                <w:t>Item 3.</w:t>
              </w:r>
            </w:hyperlink>
          </w:p>
        </w:tc>
        <w:tc>
          <w:tcPr>
            <w:tcW w:w="7411" w:type="dxa"/>
            <w:tcBorders/>
            <w:vAlign w:val="center"/>
          </w:tcPr>
          <w:p>
            <w:pPr>
              <w:pStyle w:val="TableContents"/>
              <w:bidi w:val="0"/>
              <w:spacing w:before="0" w:after="0"/>
              <w:ind w:left="0" w:right="0" w:hanging="0"/>
              <w:jc w:val="left"/>
              <w:rPr/>
            </w:pPr>
            <w:hyperlink w:anchor="Item3DefaultsUponSeniorSecurities_597206">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11" w:type="dxa"/>
            <w:tcBorders/>
            <w:shd w:fill="CCEEFF" w:val="clear"/>
            <w:vAlign w:val="center"/>
          </w:tcPr>
          <w:p>
            <w:pPr>
              <w:pStyle w:val="TableContents"/>
              <w:bidi w:val="0"/>
              <w:spacing w:before="0" w:after="0"/>
              <w:ind w:left="0" w:right="0" w:hanging="0"/>
              <w:jc w:val="left"/>
              <w:rPr/>
            </w:pPr>
            <w:hyperlink w:anchor="Item4MineSafetyDisclosures_35877">
              <w:r>
                <w:rPr>
                  <w:rStyle w:val="InternetLink"/>
                  <w:rFonts w:ascii="Times New Roman;Times;serif" w:hAnsi="Times New Roman;Times;serif"/>
                  <w:b w:val="false"/>
                  <w:i w:val="false"/>
                  <w:caps w:val="false"/>
                  <w:smallCaps w:val="false"/>
                  <w:sz w:val="20"/>
                </w:rPr>
                <w:t>Item 4.</w:t>
              </w:r>
            </w:hyperlink>
          </w:p>
        </w:tc>
        <w:tc>
          <w:tcPr>
            <w:tcW w:w="7411" w:type="dxa"/>
            <w:tcBorders/>
            <w:shd w:fill="CCEEFF" w:val="clear"/>
            <w:vAlign w:val="center"/>
          </w:tcPr>
          <w:p>
            <w:pPr>
              <w:pStyle w:val="TableContents"/>
              <w:bidi w:val="0"/>
              <w:spacing w:before="0" w:after="0"/>
              <w:ind w:left="0" w:right="0" w:hanging="0"/>
              <w:jc w:val="left"/>
              <w:rPr/>
            </w:pPr>
            <w:hyperlink w:anchor="Item4MineSafetyDisclosures_35877">
              <w:r>
                <w:rPr>
                  <w:rStyle w:val="InternetLink"/>
                  <w:rFonts w:ascii="Times New Roman;Times;serif" w:hAnsi="Times New Roman;Times;serif"/>
                  <w:b w:val="false"/>
                  <w:i w:val="false"/>
                  <w:caps w:val="false"/>
                  <w:smallCaps w:val="false"/>
                  <w:sz w:val="20"/>
                </w:rPr>
                <w:t>Mine Safety Disclosure</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11" w:type="dxa"/>
            <w:tcBorders/>
            <w:vAlign w:val="center"/>
          </w:tcPr>
          <w:p>
            <w:pPr>
              <w:pStyle w:val="TableContents"/>
              <w:bidi w:val="0"/>
              <w:spacing w:before="0" w:after="0"/>
              <w:ind w:left="0" w:right="0" w:hanging="0"/>
              <w:jc w:val="left"/>
              <w:rPr/>
            </w:pPr>
            <w:hyperlink w:anchor="Item5OtherInformation_291306">
              <w:r>
                <w:rPr>
                  <w:rStyle w:val="InternetLink"/>
                  <w:rFonts w:ascii="Times New Roman;Times;serif" w:hAnsi="Times New Roman;Times;serif"/>
                  <w:b w:val="false"/>
                  <w:i w:val="false"/>
                  <w:caps w:val="false"/>
                  <w:smallCaps w:val="false"/>
                  <w:sz w:val="20"/>
                </w:rPr>
                <w:t>Item 5.</w:t>
              </w:r>
            </w:hyperlink>
          </w:p>
        </w:tc>
        <w:tc>
          <w:tcPr>
            <w:tcW w:w="7411" w:type="dxa"/>
            <w:tcBorders/>
            <w:vAlign w:val="center"/>
          </w:tcPr>
          <w:p>
            <w:pPr>
              <w:pStyle w:val="TableContents"/>
              <w:bidi w:val="0"/>
              <w:spacing w:before="0" w:after="0"/>
              <w:ind w:left="0" w:right="0" w:hanging="0"/>
              <w:jc w:val="left"/>
              <w:rPr/>
            </w:pPr>
            <w:hyperlink w:anchor="Item5OtherInformation_291306">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811" w:type="dxa"/>
            <w:tcBorders/>
            <w:shd w:fill="CCEEFF" w:val="clear"/>
            <w:vAlign w:val="center"/>
          </w:tcPr>
          <w:p>
            <w:pPr>
              <w:pStyle w:val="TableContents"/>
              <w:bidi w:val="0"/>
              <w:spacing w:before="0" w:after="0"/>
              <w:ind w:left="0" w:right="0" w:hanging="0"/>
              <w:jc w:val="left"/>
              <w:rPr/>
            </w:pPr>
            <w:hyperlink w:anchor="Item6Exhibits_580240">
              <w:r>
                <w:rPr>
                  <w:rStyle w:val="InternetLink"/>
                  <w:rFonts w:ascii="Times New Roman;Times;serif" w:hAnsi="Times New Roman;Times;serif"/>
                  <w:b w:val="false"/>
                  <w:i w:val="false"/>
                  <w:caps w:val="false"/>
                  <w:smallCaps w:val="false"/>
                  <w:sz w:val="20"/>
                </w:rPr>
                <w:t>Item 6.</w:t>
              </w:r>
            </w:hyperlink>
          </w:p>
        </w:tc>
        <w:tc>
          <w:tcPr>
            <w:tcW w:w="7411" w:type="dxa"/>
            <w:tcBorders/>
            <w:shd w:fill="CCEEFF" w:val="clear"/>
            <w:vAlign w:val="center"/>
          </w:tcPr>
          <w:p>
            <w:pPr>
              <w:pStyle w:val="TableContents"/>
              <w:bidi w:val="0"/>
              <w:spacing w:before="0" w:after="0"/>
              <w:ind w:left="0" w:right="0" w:hanging="0"/>
              <w:jc w:val="left"/>
              <w:rPr/>
            </w:pPr>
            <w:hyperlink w:anchor="Item6Exhibits_580240">
              <w:r>
                <w:rPr>
                  <w:rStyle w:val="InternetLink"/>
                  <w:rFonts w:ascii="Times New Roman;Times;serif" w:hAnsi="Times New Roman;Times;serif"/>
                  <w:b w:val="false"/>
                  <w:i w:val="false"/>
                  <w:caps w:val="false"/>
                  <w:smallCaps w:val="false"/>
                  <w:sz w:val="20"/>
                </w:rPr>
                <w:t>Exhibits</w:t>
              </w:r>
            </w:hyperlink>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8222" w:type="dxa"/>
            <w:gridSpan w:val="2"/>
            <w:tcBorders/>
            <w:vAlign w:val="center"/>
          </w:tcPr>
          <w:p>
            <w:pPr>
              <w:pStyle w:val="TableContents"/>
              <w:bidi w:val="0"/>
              <w:spacing w:before="0" w:after="0"/>
              <w:ind w:left="0" w:right="0" w:hanging="0"/>
              <w:jc w:val="left"/>
              <w:rPr/>
            </w:pPr>
            <w:hyperlink w:anchor="SIGNATURES_241896">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Forward-Looking Statements and Market Data</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pStyle w:val="TextBody"/>
        <w:bidi w:val="0"/>
        <w:spacing w:before="0" w:after="0"/>
        <w:ind w:left="0" w:right="0" w:hanging="0"/>
        <w:jc w:val="left"/>
        <w:rPr/>
      </w:pPr>
      <w:r>
        <w:rPr/>
        <w:t>​</w:t>
      </w:r>
    </w:p>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enrollment, design, and timing of our clinical trials;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us or our third-party contract manufacturers to continue to manufacture tumor infiltrating lymphocytes, or TIL, in accordance with our selected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construct, and staff our own manufacturing facility on a timely basis and within the estimated expenses;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of America, or U.S., and foreign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U.S. Food and Drug Administration, or the FDA, European Commission, or other regulatory authority approval of, or other action with respect to, our products and/or product candidates;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 capital requirements, and needs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of our product candidates and commercialization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to successfully commercialize Amtagvi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(lifileucel) and Proleukin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(aldesleukin), and any other products and/or product candidates for which we obtain or have obtained FDA or other regulatory approvals, including by the European Commission in the European Union, or the EU;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research institution collaborators to continue research and development activities relating to our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other research and development and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for our manufacturing methods and products and/or product candidates;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products and/or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potential of the markets for our products and/or product candidates, and our ability to serve those markets;</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 and</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cash and other resources.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Actual results may differ from those set forth in this Quarterly Report on Form 10-Q due to the risks and uncertainties inherent in our business, including those provided in the foregoing list of forward-looking statements and also including, without limitation: the FDA may not agree with our interpretation of the results of our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the FDA’s interpretation, as well as the FDA’s authority to request new or additional information; we may not be able to obtain or maintain FDA or other regulatory authority approval of our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Unless the context requires otherwise, in this report the terms “Iovance,” the “Company,” “we,” “us,” and “our” refer to Iovance Biotherapeutics,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60"/>
        <w:ind w:left="0" w:right="0" w:hanging="0"/>
        <w:jc w:val="center"/>
        <w:rPr>
          <w:rFonts w:ascii="Times New Roman;Times;serif" w:hAnsi="Times New Roman;Times;serif"/>
          <w:b/>
          <w:sz w:val="20"/>
        </w:rPr>
      </w:pPr>
      <w:bookmarkStart w:id="25" w:name="PARTIFINANCIALINFORMATION_717357"/>
      <w:bookmarkStart w:id="26" w:name="_2b52f38b_15fe_4cb8_91b2_656621404cdf"/>
      <w:bookmarkEnd w:id="25"/>
      <w:bookmarkEnd w:id="26"/>
      <w:r>
        <w:rPr>
          <w:rFonts w:ascii="Times New Roman;Times;serif" w:hAnsi="Times New Roman;Times;serif"/>
          <w:b/>
          <w:sz w:val="20"/>
        </w:rPr>
        <w:t>PART I. FINANCIAL INFORMATION</w:t>
      </w:r>
    </w:p>
    <w:p>
      <w:pPr>
        <w:pStyle w:val="TextBody"/>
        <w:pBdr/>
        <w:bidi w:val="0"/>
        <w:spacing w:before="0" w:after="0"/>
        <w:ind w:left="0" w:right="0" w:hanging="0"/>
        <w:jc w:val="left"/>
        <w:rPr>
          <w:rFonts w:ascii="Times New Roman;Times;serif" w:hAnsi="Times New Roman;Times;serif"/>
          <w:sz w:val="20"/>
        </w:rPr>
      </w:pPr>
      <w:bookmarkStart w:id="27" w:name="Item1CondensedConsolidatedFinancialState"/>
      <w:bookmarkEnd w:id="27"/>
      <w:r>
        <w:rPr>
          <w:rFonts w:ascii="Times New Roman;Times;serif" w:hAnsi="Times New Roman;Times;serif"/>
          <w:b/>
          <w:i w:val="false"/>
          <w:caps w:val="false"/>
          <w:smallCaps w:val="false"/>
          <w:sz w:val="20"/>
        </w:rPr>
        <w:t>Item 1.</w:t>
      </w:r>
      <w:r>
        <w:rPr>
          <w:rFonts w:ascii="Times New Roman;Times;serif" w:hAnsi="Times New Roman;Times;serif"/>
          <w:b/>
          <w:sz w:val="20"/>
        </w:rPr>
        <w:t>Condensed Consolidated</w:t>
      </w:r>
      <w:r>
        <w:rPr>
          <w:rFonts w:ascii="Times New Roman;Times;serif" w:hAnsi="Times New Roman;Times;serif"/>
          <w:sz w:val="20"/>
        </w:rPr>
        <w:t xml:space="preserve"> </w:t>
      </w:r>
      <w:r>
        <w:rPr>
          <w:rFonts w:ascii="Times New Roman;Times;serif" w:hAnsi="Times New Roman;Times;serif"/>
          <w:b/>
          <w:sz w:val="20"/>
        </w:rPr>
        <w:t>Financial Statements</w:t>
      </w:r>
      <w:r>
        <w:rPr>
          <w:rFonts w:ascii="Times New Roman;Times;serif" w:hAnsi="Times New Roman;Times;serif"/>
          <w:sz w:val="20"/>
        </w:rPr>
        <w:t xml:space="preserve"> </w:t>
      </w:r>
      <w:r>
        <w:rPr>
          <w:rFonts w:ascii="Times New Roman;Times;serif" w:hAnsi="Times New Roman;Times;serif"/>
          <w:b/>
          <w:sz w:val="20"/>
        </w:rPr>
        <w:t>(Unaudited)</w:t>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8" w:name="Tc_FiNwd27_sEq533KfYKcDGQ_45_5"/>
      <w:bookmarkStart w:id="29" w:name="Tc_aX9Eq8hkhk-a_8UOM8JE1Q_45_2"/>
      <w:bookmarkStart w:id="30" w:name="Tc_P388B2fev0GjtgNS2nlTvw_45_0"/>
      <w:bookmarkStart w:id="31" w:name="Tc_MPkXPkrP6kWSiDaTwjT3Ew_44_0"/>
      <w:bookmarkStart w:id="32" w:name="Tc_eiIOaHuOBU-awmVcb8NenQ_43_0"/>
      <w:bookmarkStart w:id="33" w:name="Tc_LocfHmIZfE2nXjBrk9KsYg_42_0"/>
      <w:bookmarkStart w:id="34" w:name="Tc_12dGV8huMU-tzRSAEDQzzw_41_0"/>
      <w:bookmarkStart w:id="35" w:name="Tc_lS8IxNR54kWd2fq7_ed1yw_40_0"/>
      <w:bookmarkStart w:id="36" w:name="Tc_GDQ3zKFtZkSgWcl_h7x1YQ_39_0"/>
      <w:bookmarkStart w:id="37" w:name="Tc_DL_nyRUjPkqlsy1_cz9Otw_38_0"/>
      <w:bookmarkStart w:id="38" w:name="Tc_M5r7dLLUIkyIM3K4E7ik0Q_37_0"/>
      <w:bookmarkStart w:id="39" w:name="Tc_wmVyqAiTbkmkxMfOivys2Q_35_0"/>
      <w:bookmarkStart w:id="40" w:name="Tc_HxRqr4YxiUu1y5I5BlJrxw_33_0"/>
      <w:bookmarkStart w:id="41" w:name="Tc_uR5DFhWI8keCQlsY_f-zkg_32_0"/>
      <w:bookmarkStart w:id="42" w:name="Tc_ui5RVao4PU-j7PaioKRfUg_31_0"/>
      <w:bookmarkStart w:id="43" w:name="Tc_jE5l9e4rM0aNQSMpJSFnqg_30_0"/>
      <w:bookmarkStart w:id="44" w:name="Tc_WrJoSk9qKk2U9S0prTm-5w_29_0"/>
      <w:bookmarkStart w:id="45" w:name="Tc_i8qiQU-NME2g0ZPusdyM-g_27_0"/>
      <w:bookmarkStart w:id="46" w:name="Tc_D9DuLDH43EWYgGGAq6u5Zw_26_0"/>
      <w:bookmarkStart w:id="47" w:name="Tc_zCOPon-HJk-R3IsGeUK7Tg_25_3"/>
      <w:bookmarkStart w:id="48" w:name="Tc_KjS5tKwhHkWLqhudj0OH1A_25_0"/>
      <w:bookmarkStart w:id="49" w:name="Tc_6UQ4d9p6IEijJJm9BNTSbg_24_0"/>
      <w:bookmarkStart w:id="50" w:name="Tc_8EhD4EGCVECvCYAsRCagYw_23_5"/>
      <w:bookmarkStart w:id="51" w:name="Tc_PfMNfUBe6Uuz7vLZRnPG3w_23_2"/>
      <w:bookmarkStart w:id="52" w:name="Tc_RjkN5nZRVUu_6dM3q8iU4A_23_0"/>
      <w:bookmarkStart w:id="53" w:name="Tc_zIcuy5JAsk-CPFRcpPuyBQ_22_0"/>
      <w:bookmarkStart w:id="54" w:name="Tc_Y5GoVOh7xUexkF8s0CnYPQ_20_0"/>
      <w:bookmarkStart w:id="55" w:name="Tc_ozuEy0-SF0yP7Z1MP1KNNQ_18_5"/>
      <w:bookmarkStart w:id="56" w:name="Tc_v_cuOnZr9k-CtZsNIcBh2A_18_2"/>
      <w:bookmarkStart w:id="57" w:name="Tc_YIi1H69RQU6spSOdvHxCcw_18_0"/>
      <w:bookmarkStart w:id="58" w:name="Tc_BkKFtP6PbEe8Zzab-XHAiA_17_0"/>
      <w:bookmarkStart w:id="59" w:name="Tc_BYI9I2ONMkG2PLlccy3GtA_16_0"/>
      <w:bookmarkStart w:id="60" w:name="Tc_ym3XvbFMnkq79n-5TKnUZw_15_0"/>
      <w:bookmarkStart w:id="61" w:name="Tc_zxf1CAMJ6keeEchi7GHZRg_14_0"/>
      <w:bookmarkStart w:id="62" w:name="Tc_TorXhYfdw0OW24umsYLxRw_13_0"/>
      <w:bookmarkStart w:id="63" w:name="Tc_J-B-fmQ5Nk-owlbCqutrJA_11_0"/>
      <w:bookmarkStart w:id="64" w:name="Tc_P8CrvF8mzEWCzTP5bthqPg_10_0"/>
      <w:bookmarkStart w:id="65" w:name="Tc_IUwYfy3YCkujBt1hY5-fZw_9_0"/>
      <w:bookmarkStart w:id="66" w:name="Tc_njjQNm3sp0-r0HD3F0kT7w_8_0"/>
      <w:bookmarkStart w:id="67" w:name="Tc_XxCAZmrATE68N4LadRgJdg_7_0"/>
      <w:bookmarkStart w:id="68" w:name="Tc_F98nFf9QJE-wXCjpj89Waw_6_5"/>
      <w:bookmarkStart w:id="69" w:name="Tc_dpUdUnupPEOtZXodU9kAXA_6_2"/>
      <w:bookmarkStart w:id="70" w:name="Tc_jtM2-Gn2MUuDEkEX3bUQaA_6_0"/>
      <w:bookmarkStart w:id="71" w:name="Tc_liNlIhT7OEuW0eqUjtswng_5_0"/>
      <w:bookmarkStart w:id="72" w:name="Tc_uBlJ90Xwu0GY8kLw8rEFCA_3_0"/>
      <w:bookmarkStart w:id="73" w:name="Tc_J2oaTIoNFEe4eUJINyOGIg_2_5"/>
      <w:bookmarkStart w:id="74" w:name="Tc_w94x3_O-o026sswn9erhrQ_2_2"/>
      <w:bookmarkStart w:id="75" w:name="Tc_UJoZd0vTDUaIDEfTIbp1lg_1_5"/>
      <w:bookmarkStart w:id="76" w:name="Tc_z_6cWp9wRkabRqWFI72zyA_1_2"/>
      <w:bookmarkStart w:id="77" w:name="_29170042_afa2_41d3_9361_9f1458ef445a"/>
      <w:bookmarkStart w:id="78" w:name="Tc_FiNwd27_sEq533KfYKcDGQ_45_5"/>
      <w:bookmarkStart w:id="79" w:name="Tc_aX9Eq8hkhk-a_8UOM8JE1Q_45_2"/>
      <w:bookmarkStart w:id="80" w:name="Tc_P388B2fev0GjtgNS2nlTvw_45_0"/>
      <w:bookmarkStart w:id="81" w:name="Tc_MPkXPkrP6kWSiDaTwjT3Ew_44_0"/>
      <w:bookmarkStart w:id="82" w:name="Tc_eiIOaHuOBU-awmVcb8NenQ_43_0"/>
      <w:bookmarkStart w:id="83" w:name="Tc_LocfHmIZfE2nXjBrk9KsYg_42_0"/>
      <w:bookmarkStart w:id="84" w:name="Tc_12dGV8huMU-tzRSAEDQzzw_41_0"/>
      <w:bookmarkStart w:id="85" w:name="Tc_lS8IxNR54kWd2fq7_ed1yw_40_0"/>
      <w:bookmarkStart w:id="86" w:name="Tc_GDQ3zKFtZkSgWcl_h7x1YQ_39_0"/>
      <w:bookmarkStart w:id="87" w:name="Tc_DL_nyRUjPkqlsy1_cz9Otw_38_0"/>
      <w:bookmarkStart w:id="88" w:name="Tc_M5r7dLLUIkyIM3K4E7ik0Q_37_0"/>
      <w:bookmarkStart w:id="89" w:name="Tc_wmVyqAiTbkmkxMfOivys2Q_35_0"/>
      <w:bookmarkStart w:id="90" w:name="Tc_HxRqr4YxiUu1y5I5BlJrxw_33_0"/>
      <w:bookmarkStart w:id="91" w:name="Tc_uR5DFhWI8keCQlsY_f-zkg_32_0"/>
      <w:bookmarkStart w:id="92" w:name="Tc_ui5RVao4PU-j7PaioKRfUg_31_0"/>
      <w:bookmarkStart w:id="93" w:name="Tc_jE5l9e4rM0aNQSMpJSFnqg_30_0"/>
      <w:bookmarkStart w:id="94" w:name="Tc_WrJoSk9qKk2U9S0prTm-5w_29_0"/>
      <w:bookmarkStart w:id="95" w:name="Tc_i8qiQU-NME2g0ZPusdyM-g_27_0"/>
      <w:bookmarkStart w:id="96" w:name="Tc_D9DuLDH43EWYgGGAq6u5Zw_26_0"/>
      <w:bookmarkStart w:id="97" w:name="Tc_zCOPon-HJk-R3IsGeUK7Tg_25_3"/>
      <w:bookmarkStart w:id="98" w:name="Tc_KjS5tKwhHkWLqhudj0OH1A_25_0"/>
      <w:bookmarkStart w:id="99" w:name="Tc_6UQ4d9p6IEijJJm9BNTSbg_24_0"/>
      <w:bookmarkStart w:id="100" w:name="Tc_8EhD4EGCVECvCYAsRCagYw_23_5"/>
      <w:bookmarkStart w:id="101" w:name="Tc_PfMNfUBe6Uuz7vLZRnPG3w_23_2"/>
      <w:bookmarkStart w:id="102" w:name="Tc_RjkN5nZRVUu_6dM3q8iU4A_23_0"/>
      <w:bookmarkStart w:id="103" w:name="Tc_zIcuy5JAsk-CPFRcpPuyBQ_22_0"/>
      <w:bookmarkStart w:id="104" w:name="Tc_Y5GoVOh7xUexkF8s0CnYPQ_20_0"/>
      <w:bookmarkStart w:id="105" w:name="Tc_ozuEy0-SF0yP7Z1MP1KNNQ_18_5"/>
      <w:bookmarkStart w:id="106" w:name="Tc_v_cuOnZr9k-CtZsNIcBh2A_18_2"/>
      <w:bookmarkStart w:id="107" w:name="Tc_YIi1H69RQU6spSOdvHxCcw_18_0"/>
      <w:bookmarkStart w:id="108" w:name="Tc_BkKFtP6PbEe8Zzab-XHAiA_17_0"/>
      <w:bookmarkStart w:id="109" w:name="Tc_BYI9I2ONMkG2PLlccy3GtA_16_0"/>
      <w:bookmarkStart w:id="110" w:name="Tc_ym3XvbFMnkq79n-5TKnUZw_15_0"/>
      <w:bookmarkStart w:id="111" w:name="Tc_zxf1CAMJ6keeEchi7GHZRg_14_0"/>
      <w:bookmarkStart w:id="112" w:name="Tc_TorXhYfdw0OW24umsYLxRw_13_0"/>
      <w:bookmarkStart w:id="113" w:name="Tc_J-B-fmQ5Nk-owlbCqutrJA_11_0"/>
      <w:bookmarkStart w:id="114" w:name="Tc_P8CrvF8mzEWCzTP5bthqPg_10_0"/>
      <w:bookmarkStart w:id="115" w:name="Tc_IUwYfy3YCkujBt1hY5-fZw_9_0"/>
      <w:bookmarkStart w:id="116" w:name="Tc_njjQNm3sp0-r0HD3F0kT7w_8_0"/>
      <w:bookmarkStart w:id="117" w:name="Tc_XxCAZmrATE68N4LadRgJdg_7_0"/>
      <w:bookmarkStart w:id="118" w:name="Tc_F98nFf9QJE-wXCjpj89Waw_6_5"/>
      <w:bookmarkStart w:id="119" w:name="Tc_dpUdUnupPEOtZXodU9kAXA_6_2"/>
      <w:bookmarkStart w:id="120" w:name="Tc_jtM2-Gn2MUuDEkEX3bUQaA_6_0"/>
      <w:bookmarkStart w:id="121" w:name="Tc_liNlIhT7OEuW0eqUjtswng_5_0"/>
      <w:bookmarkStart w:id="122" w:name="Tc_uBlJ90Xwu0GY8kLw8rEFCA_3_0"/>
      <w:bookmarkStart w:id="123" w:name="Tc_J2oaTIoNFEe4eUJINyOGIg_2_5"/>
      <w:bookmarkStart w:id="124" w:name="Tc_w94x3_O-o026sswn9erhrQ_2_2"/>
      <w:bookmarkStart w:id="125" w:name="Tc_UJoZd0vTDUaIDEfTIbp1lg_1_5"/>
      <w:bookmarkStart w:id="126" w:name="Tc_z_6cWp9wRkabRqWFI72zyA_1_2"/>
      <w:bookmarkStart w:id="127" w:name="_29170042_afa2_41d3_9361_9f1458ef445a"/>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tbl>
      <w:tblPr>
        <w:tblW w:w="10205" w:type="dxa"/>
        <w:jc w:val="left"/>
        <w:tblInd w:w="0" w:type="dxa"/>
        <w:tblLayout w:type="fixed"/>
        <w:tblCellMar>
          <w:top w:w="0" w:type="dxa"/>
          <w:left w:w="0" w:type="dxa"/>
          <w:bottom w:w="0" w:type="dxa"/>
          <w:right w:w="0" w:type="dxa"/>
        </w:tblCellMar>
      </w:tblPr>
      <w:tblGrid>
        <w:gridCol w:w="7221"/>
        <w:gridCol w:w="346"/>
        <w:gridCol w:w="196"/>
        <w:gridCol w:w="913"/>
        <w:gridCol w:w="346"/>
        <w:gridCol w:w="199"/>
        <w:gridCol w:w="984"/>
      </w:tblGrid>
      <w:tr>
        <w:trPr/>
        <w:tc>
          <w:tcPr>
            <w:tcW w:w="7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85335" cy="175260"/>
                      <wp:effectExtent l="0" t="0" r="0" b="0"/>
                      <wp:wrapNone/>
                      <wp:docPr id="1" name="Frame1"/>
                      <a:graphic xmlns:a="http://schemas.openxmlformats.org/drawingml/2006/main">
                        <a:graphicData uri="http://schemas.microsoft.com/office/word/2010/wordprocessingShape">
                          <wps:wsp>
                            <wps:cNvSpPr txBox="1"/>
                            <wps:spPr>
                              <a:xfrm>
                                <a:off x="0" y="0"/>
                                <a:ext cx="458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79755" cy="175260"/>
                      <wp:effectExtent l="0" t="0" r="0" b="0"/>
                      <wp:wrapNone/>
                      <wp:docPr id="4" name="Frame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6365" cy="175260"/>
                      <wp:effectExtent l="0" t="0" r="0" b="0"/>
                      <wp:wrapNone/>
                      <wp:docPr id="6" name="Frame6"/>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24840" cy="175260"/>
                      <wp:effectExtent l="0" t="0" r="0" b="0"/>
                      <wp:wrapNone/>
                      <wp:docPr id="7" name="Frame7"/>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09"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1"/>
              <w:ind w:left="0" w:right="0" w:hanging="0"/>
              <w:jc w:val="left"/>
              <w:rPr/>
            </w:pPr>
            <w:r>
              <w:rPr/>
              <w:t>​</w:t>
            </w:r>
          </w:p>
        </w:tc>
        <w:tc>
          <w:tcPr>
            <w:tcW w:w="1183"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1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110,768</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163,078</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102,119</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82,448</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186,906</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133,902</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55,590</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51,678</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8,874</w:t>
            </w:r>
          </w:p>
        </w:tc>
        <w:tc>
          <w:tcPr>
            <w:tcW w:w="346" w:type="dxa"/>
            <w:tcBorders/>
            <w:vAlign w:val="center"/>
          </w:tcPr>
          <w:p>
            <w:pPr>
              <w:pStyle w:val="TableContents"/>
              <w:bidi w:val="0"/>
              <w:spacing w:before="0" w:after="1"/>
              <w:ind w:left="0" w:right="0" w:hanging="0"/>
              <w:jc w:val="left"/>
              <w:rPr/>
            </w:pPr>
            <w:r>
              <w:rPr/>
              <w:t> </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11,583</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464,257</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442,689</w: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131,464</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131,112</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263,894</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279,324</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43,480</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45,899</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6,005</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5,980</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6,431</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8,166</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915,531</w:t>
            </w:r>
          </w:p>
        </w:tc>
        <w:tc>
          <w:tcPr>
            <w:tcW w:w="346" w:type="dxa"/>
            <w:tcBorders/>
            <w:vAlign w:val="center"/>
          </w:tcPr>
          <w:p>
            <w:pPr>
              <w:pStyle w:val="TableContents"/>
              <w:bidi w:val="0"/>
              <w:spacing w:before="0" w:after="1"/>
              <w:ind w:left="0" w:right="0" w:hanging="0"/>
              <w:jc w:val="left"/>
              <w:rPr/>
            </w:pPr>
            <w:r>
              <w:rPr/>
              <w:t> </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913,170</w:t>
            </w:r>
          </w:p>
        </w:tc>
      </w:tr>
      <w:tr>
        <w:trPr/>
        <w:tc>
          <w:tcPr>
            <w:tcW w:w="72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26,211</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22,159</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77,964</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111,156</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Note payable -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2,673</w:t>
            </w:r>
          </w:p>
        </w:tc>
        <w:tc>
          <w:tcPr>
            <w:tcW w:w="346" w:type="dxa"/>
            <w:tcBorders/>
            <w:vAlign w:val="center"/>
          </w:tcPr>
          <w:p>
            <w:pPr>
              <w:pStyle w:val="TableContents"/>
              <w:bidi w:val="0"/>
              <w:spacing w:before="0" w:after="1"/>
              <w:ind w:left="0" w:right="0" w:hanging="0"/>
              <w:jc w:val="left"/>
              <w:rPr/>
            </w:pPr>
            <w:r>
              <w:rPr/>
              <w:t> </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4,043</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106,848</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138,358</w: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43,330</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44,401</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29,308</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31,828</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72,638</w:t>
            </w:r>
          </w:p>
        </w:tc>
        <w:tc>
          <w:tcPr>
            <w:tcW w:w="346" w:type="dxa"/>
            <w:tcBorders/>
            <w:vAlign w:val="center"/>
          </w:tcPr>
          <w:p>
            <w:pPr>
              <w:pStyle w:val="TableContents"/>
              <w:bidi w:val="0"/>
              <w:spacing w:before="0" w:after="1"/>
              <w:ind w:left="0" w:right="0" w:hanging="0"/>
              <w:jc w:val="left"/>
              <w:rPr/>
            </w:pPr>
            <w:r>
              <w:rPr/>
              <w:t> </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76,229</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179,486</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214,587</w: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Commitments and contingencies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pPr>
            <w:r>
              <w:rPr/>
              <w:t>  ​</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pPr>
            <w:r>
              <w:rPr/>
              <w:t>  ​</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Series A Convertible Preferred stock, $0.001 par value; 17,000 shares designated, 194 shares issued and outstanding as of June 30, 2026 and December 31, 2025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$0.001 par value; 11,500,000 shares designated, 1,932,667 shares issued and outstanding as of June 30, 2026 and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$0.000041666 par value; 650,000,000 shares authorized, 452,971,016 and 411,938,061 shares issued and outstanding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13,078</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 </w:t>
            </w:r>
          </w:p>
        </w:tc>
        <w:tc>
          <w:tcPr>
            <w:tcW w:w="98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16,440</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3,624,836</w:t>
            </w:r>
          </w:p>
        </w:tc>
        <w:tc>
          <w:tcPr>
            <w:tcW w:w="34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 </w:t>
            </w:r>
          </w:p>
        </w:tc>
        <w:tc>
          <w:tcPr>
            <w:tcW w:w="98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3,457,654</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(2,901,890)</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(2,775,530)</w:t>
            </w:r>
          </w:p>
        </w:tc>
      </w:tr>
      <w:tr>
        <w:trPr/>
        <w:tc>
          <w:tcPr>
            <w:tcW w:w="7221"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736,045</w:t>
            </w:r>
          </w:p>
        </w:tc>
        <w:tc>
          <w:tcPr>
            <w:tcW w:w="346" w:type="dxa"/>
            <w:tcBorders/>
            <w:vAlign w:val="center"/>
          </w:tcPr>
          <w:p>
            <w:pPr>
              <w:pStyle w:val="TableContents"/>
              <w:bidi w:val="0"/>
              <w:spacing w:before="0" w:after="1"/>
              <w:ind w:left="0" w:right="0" w:hanging="0"/>
              <w:jc w:val="left"/>
              <w:rPr/>
            </w:pPr>
            <w:r>
              <w:rPr/>
              <w:t> </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698,583</w:t>
            </w:r>
          </w:p>
        </w:tc>
      </w:tr>
      <w:tr>
        <w:trPr/>
        <w:tc>
          <w:tcPr>
            <w:tcW w:w="722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915,531</w:t>
            </w:r>
          </w:p>
        </w:tc>
        <w:tc>
          <w:tcPr>
            <w:tcW w:w="346" w:type="dxa"/>
            <w:tcBorders/>
            <w:shd w:fill="CCEEFF" w:val="clear"/>
            <w:vAlign w:val="center"/>
          </w:tcPr>
          <w:p>
            <w:pPr>
              <w:pStyle w:val="TableContents"/>
              <w:bidi w:val="0"/>
              <w:spacing w:before="0" w:after="1"/>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913,170</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8" w:name="_91e0163b_c7c0_486c_91df_00227331221f"/>
      <w:bookmarkEnd w:id="128"/>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29" w:name="Tc_DpCSVQ2kQkGhf-PDRW7OGQ_28_0"/>
      <w:bookmarkStart w:id="130" w:name="Tc_7xCKQo9HSUi7P-BrDyegJA_27_11"/>
      <w:bookmarkStart w:id="131" w:name="Tc_U5vhYwLTqUSHxDwyzOWqbw_27_8"/>
      <w:bookmarkStart w:id="132" w:name="Tc_EiHhHyrpwUmoOj-n2GlVLA_27_5"/>
      <w:bookmarkStart w:id="133" w:name="Tc_h1pGqNJMkk2f4sY478LH2A_27_2"/>
      <w:bookmarkStart w:id="134" w:name="Tc_gAkyWwy0GkKNc7J2hAx--A_26_0"/>
      <w:bookmarkStart w:id="135" w:name="Tc_39rFmZPaIEWy28Y-3eZL-g_25_0"/>
      <w:bookmarkStart w:id="136" w:name="Tc_i5BcY73FH0OsdYGGM3kvMw_24_11"/>
      <w:bookmarkStart w:id="137" w:name="Tc_nYWyCheBfk6WmJSA4Wi5Qw_24_8"/>
      <w:bookmarkStart w:id="138" w:name="Tc_e7tXK_1RHUO33Uip4yLKYw_24_5"/>
      <w:bookmarkStart w:id="139" w:name="Tc_Xay5Qm1GBESeP9iplR_Y_g_24_2"/>
      <w:bookmarkStart w:id="140" w:name="Tc_R2SxKfW4XEyA5wD72MHYZw_24_0"/>
      <w:bookmarkStart w:id="141" w:name="Tc_tdLB0YbjmkmVxklD9Ok6kw_23_0"/>
      <w:bookmarkStart w:id="142" w:name="Tc_I5xq-eqHUU-lgSN_OMHobA_21_0"/>
      <w:bookmarkStart w:id="143" w:name="Tc_b3dkeWkT-0u5jNcG-EG5Ig_20_11"/>
      <w:bookmarkStart w:id="144" w:name="Tc_0-tA1QqVM0OHTlKvu8cLtQ_20_8"/>
      <w:bookmarkStart w:id="145" w:name="Tc_IIQw1YN220SpcnXeNmb84w_20_5"/>
      <w:bookmarkStart w:id="146" w:name="Tc_rwIILQ0Py0u2FxRYL1DhFw_20_2"/>
      <w:bookmarkStart w:id="147" w:name="Tc_sYMwpSA2HUe9VE6t7xgSWA_20_0"/>
      <w:bookmarkStart w:id="148" w:name="Tc_e5w_XDCI90aziQMKkDMq9w_19_11"/>
      <w:bookmarkStart w:id="149" w:name="Tc_ctJ-sEmV2ESQBNQ4KIkORQ_19_8"/>
      <w:bookmarkStart w:id="150" w:name="Tc_rTO13Kyp1Uy1Wz5aNTM_wA_19_5"/>
      <w:bookmarkStart w:id="151" w:name="Tc_cjouesSsuEaW5p1nG9IYSQ_19_2"/>
      <w:bookmarkStart w:id="152" w:name="Tc_okEq2lW7wU-QM7XTqZW_Fw_19_0"/>
      <w:bookmarkStart w:id="153" w:name="Tc_O1OfBhUWtk6OPUMUYxsalQ_18_0"/>
      <w:bookmarkStart w:id="154" w:name="Tc_lEa6pf70SUCc3aM2uVxWLQ_17_11"/>
      <w:bookmarkStart w:id="155" w:name="Tc_8qEzvpleC0qH6X0XDaEgFA_17_8"/>
      <w:bookmarkStart w:id="156" w:name="Tc_zJRDNn3YAUGoBFa4K0se6w_17_5"/>
      <w:bookmarkStart w:id="157" w:name="Tc_A1IF8Fk590m3A9XgxzxR6Q_17_2"/>
      <w:bookmarkStart w:id="158" w:name="Tc_34B8lPOk-EK18XmIXSm2qQ_17_0"/>
      <w:bookmarkStart w:id="159" w:name="Tc_9-JN6B5ALkuP9Gwgh15eNQ_16_0"/>
      <w:bookmarkStart w:id="160" w:name="Tc__YlDcsfrWUmW5vW3sJH1_Q_15_0"/>
      <w:bookmarkStart w:id="161" w:name="Tc_4kOTswv2b0GaTjAUEenQYw_14_0"/>
      <w:bookmarkStart w:id="162" w:name="Tc_JotxW2NkMEW_uSWc66_YKA_13_11"/>
      <w:bookmarkStart w:id="163" w:name="Tc_6X1Zc1hx1EivlPvPin36xA_13_8"/>
      <w:bookmarkStart w:id="164" w:name="Tc_OcJxRLBfK0WoH4iLJcNO9g_13_5"/>
      <w:bookmarkStart w:id="165" w:name="Tc_ChdNCmPw9k64TdfALRCBfA_13_2"/>
      <w:bookmarkStart w:id="166" w:name="Tc_SdnxrJagcUq2JxtjPJd-Gw_13_0"/>
      <w:bookmarkStart w:id="167" w:name="Tc_yYYPJ4Ma5ke-C8h8vrEwRg_12_0"/>
      <w:bookmarkStart w:id="168" w:name="Tc_-SBI2-jGIkWjSqVK8KZlsg_11_0"/>
      <w:bookmarkStart w:id="169" w:name="Tc_7fPwQFmfbEWCVa1W2hpf0A_10_0"/>
      <w:bookmarkStart w:id="170" w:name="Tc_FUSPGGESWkCWaqBKUYmTdg_9_11"/>
      <w:bookmarkStart w:id="171" w:name="Tc_26uYL9Y4PEiA-aj9nEg-8A_9_8"/>
      <w:bookmarkStart w:id="172" w:name="Tc_6A0WY9MngkOLJJCGiRTxlQ_9_5"/>
      <w:bookmarkStart w:id="173" w:name="Tc_57HyDVCuNEW56XQqQ51uTA_9_2"/>
      <w:bookmarkStart w:id="174" w:name="Tc_AajNm6Nf6EK15AwJUHCOBQ_9_0"/>
      <w:bookmarkStart w:id="175" w:name="Tc_JeDAOvptKU-ITOBOApyXhQ_8_0"/>
      <w:bookmarkStart w:id="176" w:name="Tc_8iHjKEQ7P0qwO-bGe_gP2w_6_0"/>
      <w:bookmarkStart w:id="177" w:name="Tc_m0LHu4mVDUezFU-g2ss8Tw_5_11"/>
      <w:bookmarkStart w:id="178" w:name="Tc_ZQhApJ48mE6hy5OUCejtbQ_5_8"/>
      <w:bookmarkStart w:id="179" w:name="Tc_SKi-kbq9W0WQMBrgSJcLEQ_5_5"/>
      <w:bookmarkStart w:id="180" w:name="Tc_RyqsrZyumEi2yNZztbC0Ow_5_2"/>
      <w:bookmarkStart w:id="181" w:name="Tc_Doii6FLGVkS5pG0zkRt7cA_4_0"/>
      <w:bookmarkStart w:id="182" w:name="Tc_naAGO5PM60aikqRIskz-UA_3_11"/>
      <w:bookmarkStart w:id="183" w:name="Tc_bxWeMUcE60mdQOMLBA4PEw_3_8"/>
      <w:bookmarkStart w:id="184" w:name="Tc_OJpwWRGkaUaduEYU2q3khw_3_5"/>
      <w:bookmarkStart w:id="185" w:name="Tc_tmaqx9Ne50iLAP950rWiXw_3_2"/>
      <w:bookmarkStart w:id="186" w:name="Tc_w77NlNLMHU-zS7i4z4J5Ng_2_8"/>
      <w:bookmarkStart w:id="187" w:name="Tc_C1mdANAp5UmnihQMrGsMUQ_2_2"/>
      <w:bookmarkStart w:id="188" w:name="Tc__wk7QauxRkGWytu5IkDG_A_1_8"/>
      <w:bookmarkStart w:id="189" w:name="Tc_DlX1vizZLUKa1qRWLvLFhw_1_2"/>
      <w:bookmarkStart w:id="190" w:name="_d4781a8d_9dfc_4fe7_bba2_bf327f2315d5"/>
      <w:bookmarkStart w:id="191" w:name="_d63ac5dd_1b26_4cd3_8ed6_a3db314a2865"/>
      <w:bookmarkStart w:id="192" w:name="Tc_DpCSVQ2kQkGhf-PDRW7OGQ_28_0"/>
      <w:bookmarkStart w:id="193" w:name="Tc_7xCKQo9HSUi7P-BrDyegJA_27_11"/>
      <w:bookmarkStart w:id="194" w:name="Tc_U5vhYwLTqUSHxDwyzOWqbw_27_8"/>
      <w:bookmarkStart w:id="195" w:name="Tc_EiHhHyrpwUmoOj-n2GlVLA_27_5"/>
      <w:bookmarkStart w:id="196" w:name="Tc_h1pGqNJMkk2f4sY478LH2A_27_2"/>
      <w:bookmarkStart w:id="197" w:name="Tc_gAkyWwy0GkKNc7J2hAx--A_26_0"/>
      <w:bookmarkStart w:id="198" w:name="Tc_39rFmZPaIEWy28Y-3eZL-g_25_0"/>
      <w:bookmarkStart w:id="199" w:name="Tc_i5BcY73FH0OsdYGGM3kvMw_24_11"/>
      <w:bookmarkStart w:id="200" w:name="Tc_nYWyCheBfk6WmJSA4Wi5Qw_24_8"/>
      <w:bookmarkStart w:id="201" w:name="Tc_e7tXK_1RHUO33Uip4yLKYw_24_5"/>
      <w:bookmarkStart w:id="202" w:name="Tc_Xay5Qm1GBESeP9iplR_Y_g_24_2"/>
      <w:bookmarkStart w:id="203" w:name="Tc_R2SxKfW4XEyA5wD72MHYZw_24_0"/>
      <w:bookmarkStart w:id="204" w:name="Tc_tdLB0YbjmkmVxklD9Ok6kw_23_0"/>
      <w:bookmarkStart w:id="205" w:name="Tc_I5xq-eqHUU-lgSN_OMHobA_21_0"/>
      <w:bookmarkStart w:id="206" w:name="Tc_b3dkeWkT-0u5jNcG-EG5Ig_20_11"/>
      <w:bookmarkStart w:id="207" w:name="Tc_0-tA1QqVM0OHTlKvu8cLtQ_20_8"/>
      <w:bookmarkStart w:id="208" w:name="Tc_IIQw1YN220SpcnXeNmb84w_20_5"/>
      <w:bookmarkStart w:id="209" w:name="Tc_rwIILQ0Py0u2FxRYL1DhFw_20_2"/>
      <w:bookmarkStart w:id="210" w:name="Tc_sYMwpSA2HUe9VE6t7xgSWA_20_0"/>
      <w:bookmarkStart w:id="211" w:name="Tc_e5w_XDCI90aziQMKkDMq9w_19_11"/>
      <w:bookmarkStart w:id="212" w:name="Tc_ctJ-sEmV2ESQBNQ4KIkORQ_19_8"/>
      <w:bookmarkStart w:id="213" w:name="Tc_rTO13Kyp1Uy1Wz5aNTM_wA_19_5"/>
      <w:bookmarkStart w:id="214" w:name="Tc_cjouesSsuEaW5p1nG9IYSQ_19_2"/>
      <w:bookmarkStart w:id="215" w:name="Tc_okEq2lW7wU-QM7XTqZW_Fw_19_0"/>
      <w:bookmarkStart w:id="216" w:name="Tc_O1OfBhUWtk6OPUMUYxsalQ_18_0"/>
      <w:bookmarkStart w:id="217" w:name="Tc_lEa6pf70SUCc3aM2uVxWLQ_17_11"/>
      <w:bookmarkStart w:id="218" w:name="Tc_8qEzvpleC0qH6X0XDaEgFA_17_8"/>
      <w:bookmarkStart w:id="219" w:name="Tc_zJRDNn3YAUGoBFa4K0se6w_17_5"/>
      <w:bookmarkStart w:id="220" w:name="Tc_A1IF8Fk590m3A9XgxzxR6Q_17_2"/>
      <w:bookmarkStart w:id="221" w:name="Tc_34B8lPOk-EK18XmIXSm2qQ_17_0"/>
      <w:bookmarkStart w:id="222" w:name="Tc_9-JN6B5ALkuP9Gwgh15eNQ_16_0"/>
      <w:bookmarkStart w:id="223" w:name="Tc__YlDcsfrWUmW5vW3sJH1_Q_15_0"/>
      <w:bookmarkStart w:id="224" w:name="Tc_4kOTswv2b0GaTjAUEenQYw_14_0"/>
      <w:bookmarkStart w:id="225" w:name="Tc_JotxW2NkMEW_uSWc66_YKA_13_11"/>
      <w:bookmarkStart w:id="226" w:name="Tc_6X1Zc1hx1EivlPvPin36xA_13_8"/>
      <w:bookmarkStart w:id="227" w:name="Tc_OcJxRLBfK0WoH4iLJcNO9g_13_5"/>
      <w:bookmarkStart w:id="228" w:name="Tc_ChdNCmPw9k64TdfALRCBfA_13_2"/>
      <w:bookmarkStart w:id="229" w:name="Tc_SdnxrJagcUq2JxtjPJd-Gw_13_0"/>
      <w:bookmarkStart w:id="230" w:name="Tc_yYYPJ4Ma5ke-C8h8vrEwRg_12_0"/>
      <w:bookmarkStart w:id="231" w:name="Tc_-SBI2-jGIkWjSqVK8KZlsg_11_0"/>
      <w:bookmarkStart w:id="232" w:name="Tc_7fPwQFmfbEWCVa1W2hpf0A_10_0"/>
      <w:bookmarkStart w:id="233" w:name="Tc_FUSPGGESWkCWaqBKUYmTdg_9_11"/>
      <w:bookmarkStart w:id="234" w:name="Tc_26uYL9Y4PEiA-aj9nEg-8A_9_8"/>
      <w:bookmarkStart w:id="235" w:name="Tc_6A0WY9MngkOLJJCGiRTxlQ_9_5"/>
      <w:bookmarkStart w:id="236" w:name="Tc_57HyDVCuNEW56XQqQ51uTA_9_2"/>
      <w:bookmarkStart w:id="237" w:name="Tc_AajNm6Nf6EK15AwJUHCOBQ_9_0"/>
      <w:bookmarkStart w:id="238" w:name="Tc_JeDAOvptKU-ITOBOApyXhQ_8_0"/>
      <w:bookmarkStart w:id="239" w:name="Tc_8iHjKEQ7P0qwO-bGe_gP2w_6_0"/>
      <w:bookmarkStart w:id="240" w:name="Tc_m0LHu4mVDUezFU-g2ss8Tw_5_11"/>
      <w:bookmarkStart w:id="241" w:name="Tc_ZQhApJ48mE6hy5OUCejtbQ_5_8"/>
      <w:bookmarkStart w:id="242" w:name="Tc_SKi-kbq9W0WQMBrgSJcLEQ_5_5"/>
      <w:bookmarkStart w:id="243" w:name="Tc_RyqsrZyumEi2yNZztbC0Ow_5_2"/>
      <w:bookmarkStart w:id="244" w:name="Tc_Doii6FLGVkS5pG0zkRt7cA_4_0"/>
      <w:bookmarkStart w:id="245" w:name="Tc_naAGO5PM60aikqRIskz-UA_3_11"/>
      <w:bookmarkStart w:id="246" w:name="Tc_bxWeMUcE60mdQOMLBA4PEw_3_8"/>
      <w:bookmarkStart w:id="247" w:name="Tc_OJpwWRGkaUaduEYU2q3khw_3_5"/>
      <w:bookmarkStart w:id="248" w:name="Tc_tmaqx9Ne50iLAP950rWiXw_3_2"/>
      <w:bookmarkStart w:id="249" w:name="Tc_w77NlNLMHU-zS7i4z4J5Ng_2_8"/>
      <w:bookmarkStart w:id="250" w:name="Tc_C1mdANAp5UmnihQMrGsMUQ_2_2"/>
      <w:bookmarkStart w:id="251" w:name="Tc__wk7QauxRkGWytu5IkDG_A_1_8"/>
      <w:bookmarkStart w:id="252" w:name="Tc_DlX1vizZLUKa1qRWLvLFhw_1_2"/>
      <w:bookmarkStart w:id="253" w:name="_d4781a8d_9dfc_4fe7_bba2_bf327f2315d5"/>
      <w:bookmarkStart w:id="254" w:name="_d63ac5dd_1b26_4cd3_8ed6_a3db314a2865"/>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4752"/>
        <w:gridCol w:w="109"/>
        <w:gridCol w:w="211"/>
        <w:gridCol w:w="789"/>
        <w:gridCol w:w="346"/>
        <w:gridCol w:w="211"/>
        <w:gridCol w:w="875"/>
        <w:gridCol w:w="346"/>
        <w:gridCol w:w="211"/>
        <w:gridCol w:w="875"/>
        <w:gridCol w:w="346"/>
        <w:gridCol w:w="211"/>
        <w:gridCol w:w="923"/>
      </w:tblGrid>
      <w:tr>
        <w:trPr/>
        <w:tc>
          <w:tcPr>
            <w:tcW w:w="4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17520" cy="175260"/>
                      <wp:effectExtent l="0" t="0" r="0" b="0"/>
                      <wp:wrapNone/>
                      <wp:docPr id="8" name="Frame8"/>
                      <a:graphic xmlns:a="http://schemas.openxmlformats.org/drawingml/2006/main">
                        <a:graphicData uri="http://schemas.microsoft.com/office/word/2010/wordprocessingShape">
                          <wps:wsp>
                            <wps:cNvSpPr txBox="1"/>
                            <wps:spPr>
                              <a:xfrm>
                                <a:off x="0" y="0"/>
                                <a:ext cx="3017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01015" cy="175260"/>
                      <wp:effectExtent l="0" t="0" r="0" b="0"/>
                      <wp:wrapNone/>
                      <wp:docPr id="11" name="Frame11"/>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55625" cy="175260"/>
                      <wp:effectExtent l="0" t="0" r="0" b="0"/>
                      <wp:wrapNone/>
                      <wp:docPr id="14" name="Frame14"/>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5625" cy="175260"/>
                      <wp:effectExtent l="0" t="0" r="0" b="0"/>
                      <wp:wrapNone/>
                      <wp:docPr id="17" name="Frame1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6105" cy="175260"/>
                      <wp:effectExtent l="0" t="0" r="0" b="0"/>
                      <wp:wrapNone/>
                      <wp:docPr id="20" name="Frame20"/>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56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7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5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7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left"/>
              <w:rPr/>
            </w:pPr>
            <w:r>
              <w:rPr/>
              <w:t>​</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109,276</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109,276</w:t>
            </w:r>
          </w:p>
        </w:tc>
      </w:tr>
      <w:tr>
        <w:trPr/>
        <w:tc>
          <w:tcPr>
            <w:tcW w:w="47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pPr>
            <w:r>
              <w:rPr/>
              <w:t>​</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23" w:type="dxa"/>
            <w:tcBorders/>
            <w:shd w:fill="CCEEFF" w:val="clear"/>
            <w:vAlign w:val="center"/>
          </w:tcPr>
          <w:p>
            <w:pPr>
              <w:pStyle w:val="TableContents"/>
              <w:bidi w:val="0"/>
              <w:spacing w:before="0" w:after="1"/>
              <w:ind w:left="0" w:right="0" w:hanging="0"/>
              <w:jc w:val="right"/>
              <w:rPr/>
            </w:pPr>
            <w:r>
              <w:rPr/>
              <w:t>​</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86,093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91,595</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153,895</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81,366</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17,415</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173,726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303,691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344,271</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(113,774)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(132,948)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(234,995)</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pPr>
            <w:r>
              <w:rPr/>
              <w:t>​</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7,324</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(109,670)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(128,398)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(227,671)</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(227,821)</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of Common Stock, Basic and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(0.69)</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Shares of Common Stock Outstanding, Basic and Diluted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450,189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334,511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434,437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328,721</w:t>
            </w:r>
          </w:p>
        </w:tc>
      </w:tr>
      <w:tr>
        <w:trPr/>
        <w:tc>
          <w:tcPr>
            <w:tcW w:w="475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left"/>
              <w:rPr/>
            </w:pPr>
            <w:r>
              <w:rPr/>
              <w:t>​</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Non-cash stock-based compensation included in cost of sales and operating expenses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left"/>
              <w:rPr/>
            </w:pPr>
            <w:r>
              <w:rPr/>
              <w:t>​</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4,569</w:t>
            </w:r>
          </w:p>
        </w:tc>
      </w:tr>
      <w:tr>
        <w:trPr/>
        <w:tc>
          <w:tcPr>
            <w:tcW w:w="475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16,276</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17,013</w:t>
            </w:r>
          </w:p>
        </w:tc>
      </w:tr>
      <w:tr>
        <w:trPr/>
        <w:tc>
          <w:tcPr>
            <w:tcW w:w="475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37,858</w:t>
            </w:r>
          </w:p>
        </w:tc>
      </w:tr>
      <w:tr>
        <w:trPr/>
        <w:tc>
          <w:tcPr>
            <w:tcW w:w="475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Excludes 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7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5" w:name="_53d1c275_1b8f_446a_8175_eef8b10a9873"/>
      <w:bookmarkEnd w:id="255"/>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56" w:name="Tc_Vf0TTVVcE0KXnQXI-GvORA_8_11"/>
      <w:bookmarkStart w:id="257" w:name="Tc_J-VuCgB8r0Ko9AMwrPsldQ_8_8"/>
      <w:bookmarkStart w:id="258" w:name="Tc_xbTQqTX6R06mIqlsplOXyQ_8_5"/>
      <w:bookmarkStart w:id="259" w:name="Tc_7-7iLKD2ekeG64xkqysTow_8_2"/>
      <w:bookmarkStart w:id="260" w:name="Tc_5BxeVaD_zEamFdzEEMwSRQ_8_0"/>
      <w:bookmarkStart w:id="261" w:name="Tc_h6pZ5UPuYkmanYfWNWxs1A_7_0"/>
      <w:bookmarkStart w:id="262" w:name="Tc_suPQYQf6QU-VTLx62rpo7g_6_0"/>
      <w:bookmarkStart w:id="263" w:name="Tc_j274qgxFOUOfe7ykUR7Drg_5_0"/>
      <w:bookmarkStart w:id="264" w:name="Tc_zDbJZIp-6kCKb6p9-hZw2g_4_11"/>
      <w:bookmarkStart w:id="265" w:name="Tc_Co3J21gZa0i-NJMDWyZmfA_4_8"/>
      <w:bookmarkStart w:id="266" w:name="Tc_r4ol92_ZR0msrJAjAsDL5A_4_5"/>
      <w:bookmarkStart w:id="267" w:name="Tc_aZlrW_qDiUybTH60YQxQ3g_4_2"/>
      <w:bookmarkStart w:id="268" w:name="Tc_Y_2SiodJok2b0Iao4PZTBw_4_0"/>
      <w:bookmarkStart w:id="269" w:name="Tc_4AjV_6CLu0eO9LzGGEo_Fw_3_11"/>
      <w:bookmarkStart w:id="270" w:name="Tc_gQDhjF_9bku9wIkSFb82LQ_3_8"/>
      <w:bookmarkStart w:id="271" w:name="Tc_GCahnYN89UmQMSBt5iPOtw_3_5"/>
      <w:bookmarkStart w:id="272" w:name="Tc_ADqJSUYje0GC5qHhR1-_rg_3_2"/>
      <w:bookmarkStart w:id="273" w:name="Tc_XJh1Zb9XBkKj7O8TeKzKvw_2_8"/>
      <w:bookmarkStart w:id="274" w:name="Tc_9ynweBjpmEiYJ8K5tl9KPQ_2_2"/>
      <w:bookmarkStart w:id="275" w:name="Tc_chVofn5ef0ejQFixtToMQw_1_8"/>
      <w:bookmarkStart w:id="276" w:name="Tc_N3MtET1udkeLt9tHrNxUOA_1_2"/>
      <w:bookmarkStart w:id="277" w:name="_37566bda_f13a_4695_981c_30558b3ab3d2"/>
      <w:bookmarkStart w:id="278" w:name="Tc_Vf0TTVVcE0KXnQXI-GvORA_8_11"/>
      <w:bookmarkStart w:id="279" w:name="Tc_J-VuCgB8r0Ko9AMwrPsldQ_8_8"/>
      <w:bookmarkStart w:id="280" w:name="Tc_xbTQqTX6R06mIqlsplOXyQ_8_5"/>
      <w:bookmarkStart w:id="281" w:name="Tc_7-7iLKD2ekeG64xkqysTow_8_2"/>
      <w:bookmarkStart w:id="282" w:name="Tc_5BxeVaD_zEamFdzEEMwSRQ_8_0"/>
      <w:bookmarkStart w:id="283" w:name="Tc_h6pZ5UPuYkmanYfWNWxs1A_7_0"/>
      <w:bookmarkStart w:id="284" w:name="Tc_suPQYQf6QU-VTLx62rpo7g_6_0"/>
      <w:bookmarkStart w:id="285" w:name="Tc_j274qgxFOUOfe7ykUR7Drg_5_0"/>
      <w:bookmarkStart w:id="286" w:name="Tc_zDbJZIp-6kCKb6p9-hZw2g_4_11"/>
      <w:bookmarkStart w:id="287" w:name="Tc_Co3J21gZa0i-NJMDWyZmfA_4_8"/>
      <w:bookmarkStart w:id="288" w:name="Tc_r4ol92_ZR0msrJAjAsDL5A_4_5"/>
      <w:bookmarkStart w:id="289" w:name="Tc_aZlrW_qDiUybTH60YQxQ3g_4_2"/>
      <w:bookmarkStart w:id="290" w:name="Tc_Y_2SiodJok2b0Iao4PZTBw_4_0"/>
      <w:bookmarkStart w:id="291" w:name="Tc_4AjV_6CLu0eO9LzGGEo_Fw_3_11"/>
      <w:bookmarkStart w:id="292" w:name="Tc_gQDhjF_9bku9wIkSFb82LQ_3_8"/>
      <w:bookmarkStart w:id="293" w:name="Tc_GCahnYN89UmQMSBt5iPOtw_3_5"/>
      <w:bookmarkStart w:id="294" w:name="Tc_ADqJSUYje0GC5qHhR1-_rg_3_2"/>
      <w:bookmarkStart w:id="295" w:name="Tc_XJh1Zb9XBkKj7O8TeKzKvw_2_8"/>
      <w:bookmarkStart w:id="296" w:name="Tc_9ynweBjpmEiYJ8K5tl9KPQ_2_2"/>
      <w:bookmarkStart w:id="297" w:name="Tc_chVofn5ef0ejQFixtToMQw_1_8"/>
      <w:bookmarkStart w:id="298" w:name="Tc_N3MtET1udkeLt9tHrNxUOA_1_2"/>
      <w:bookmarkStart w:id="299" w:name="_37566bda_f13a_4695_981c_30558b3ab3d2"/>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tbl>
      <w:tblPr>
        <w:tblW w:w="8896" w:type="dxa"/>
        <w:jc w:val="left"/>
        <w:tblInd w:w="0" w:type="dxa"/>
        <w:tblLayout w:type="fixed"/>
        <w:tblCellMar>
          <w:top w:w="0" w:type="dxa"/>
          <w:left w:w="0" w:type="dxa"/>
          <w:bottom w:w="0" w:type="dxa"/>
          <w:right w:w="0" w:type="dxa"/>
        </w:tblCellMar>
      </w:tblPr>
      <w:tblGrid>
        <w:gridCol w:w="3361"/>
        <w:gridCol w:w="109"/>
        <w:gridCol w:w="211"/>
        <w:gridCol w:w="796"/>
        <w:gridCol w:w="346"/>
        <w:gridCol w:w="211"/>
        <w:gridCol w:w="901"/>
        <w:gridCol w:w="346"/>
        <w:gridCol w:w="211"/>
        <w:gridCol w:w="901"/>
        <w:gridCol w:w="346"/>
        <w:gridCol w:w="211"/>
        <w:gridCol w:w="94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34235" cy="175260"/>
                      <wp:effectExtent l="0" t="0" r="0" b="0"/>
                      <wp:wrapNone/>
                      <wp:docPr id="21" name="Frame21"/>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72135" cy="175260"/>
                      <wp:effectExtent l="0" t="0" r="0" b="0"/>
                      <wp:wrapNone/>
                      <wp:docPr id="27" name="Frame2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72135" cy="175260"/>
                      <wp:effectExtent l="0" t="0" r="0" b="0"/>
                      <wp:wrapNone/>
                      <wp:docPr id="30" name="Frame3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2"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00710" cy="175260"/>
                      <wp:effectExtent l="0" t="0" r="0" b="0"/>
                      <wp:wrapNone/>
                      <wp:docPr id="33" name="Frame3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(227,821)</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22,045</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(205,916)</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00" w:name="_4af96631_2288_49b8_86c5_9be1fc6fa0ee"/>
      <w:bookmarkEnd w:id="300"/>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information)</w:t>
      </w:r>
    </w:p>
    <w:p>
      <w:pPr>
        <w:pStyle w:val="TextBody"/>
        <w:bidi w:val="0"/>
        <w:spacing w:before="0" w:after="0"/>
        <w:ind w:left="0" w:right="0" w:hanging="0"/>
        <w:jc w:val="left"/>
        <w:rPr/>
      </w:pPr>
      <w:r>
        <w:rPr/>
        <w:t>​</w:t>
      </w:r>
    </w:p>
    <w:p>
      <w:pPr>
        <w:pStyle w:val="TextBody"/>
        <w:bidi w:val="0"/>
        <w:spacing w:before="0" w:after="200"/>
        <w:ind w:left="0" w:right="0" w:firstLine="547"/>
        <w:jc w:val="center"/>
        <w:rPr/>
      </w:pPr>
      <w:r>
        <w:rPr/>
        <w:t>​</w:t>
      </w:r>
    </w:p>
    <w:p>
      <w:pPr>
        <w:pStyle w:val="Normal"/>
        <w:bidi w:val="0"/>
        <w:spacing w:before="0" w:after="0"/>
        <w:jc w:val="left"/>
        <w:rPr>
          <w:sz w:val="4"/>
          <w:szCs w:val="4"/>
        </w:rPr>
      </w:pPr>
      <w:r>
        <w:rPr>
          <w:sz w:val="4"/>
          <w:szCs w:val="4"/>
        </w:rPr>
      </w:r>
      <w:bookmarkStart w:id="301" w:name="Tc_unhLHxlWPU6duH9bz3NpMA_26_26"/>
      <w:bookmarkStart w:id="302" w:name="Tc_MkUU5CDwMkeJ0E60IkZXlw_26_23"/>
      <w:bookmarkStart w:id="303" w:name="Tc_J-zW2je_NkCtJ6DrAT1xCA_26_20"/>
      <w:bookmarkStart w:id="304" w:name="Tc_LKDQrI9DVUKQLQiboduM7Q_26_17"/>
      <w:bookmarkStart w:id="305" w:name="Tc_PT1hcEXbF0W5o2tnoUTNLA_26_14"/>
      <w:bookmarkStart w:id="306" w:name="Tc_SgGIaHhPPECfBLYrHu76Pg_26_9"/>
      <w:bookmarkStart w:id="307" w:name="Tc_3vnRWe-LNke492SXbh-iYQ_26_5"/>
      <w:bookmarkStart w:id="308" w:name="Tc_6Kav1slpaUSRgkxRNeWE5Q_26_4"/>
      <w:bookmarkStart w:id="309" w:name="Tc__-eXThRFe0m587AeQavY6Q_26_0"/>
      <w:bookmarkStart w:id="310" w:name="Tc_W1LJPI_7_0GJ7IXxLWcBCA_25_21"/>
      <w:bookmarkStart w:id="311" w:name="Tc_R7AZnXeTMEew7_xTSi03Og_25_18"/>
      <w:bookmarkStart w:id="312" w:name="Tc_1gaK_3WdckW0vhklZF8YsA_25_15"/>
      <w:bookmarkStart w:id="313" w:name="Tc_udVGwdZ_ak-RyVRUShOpzw_25_12"/>
      <w:bookmarkStart w:id="314" w:name="Tc_YZb2AL3xVUeNG_365RA0wg_25_10"/>
      <w:bookmarkStart w:id="315" w:name="Tc_RDvOgYwLykKV3huxFtK55w_25_7"/>
      <w:bookmarkStart w:id="316" w:name="Tc_HaOQHY_0s0Ol3ZepodNzcQ_25_5"/>
      <w:bookmarkStart w:id="317" w:name="Tc_6PYgau9Fi06ylzhYjZpnog_25_2"/>
      <w:bookmarkStart w:id="318" w:name="Tc_8rrUSV6E5kOWz9i8srmBRg_25_0"/>
      <w:bookmarkStart w:id="319" w:name="Tc_8SilN4Re1UG7Uy168r9dHg_24_24"/>
      <w:bookmarkStart w:id="320" w:name="Tc_AGyGVJkEu0CYhTJHPVN4mQ_24_18"/>
      <w:bookmarkStart w:id="321" w:name="Tc_sOFAfmvTSUizDbPpKqCwsw_24_15"/>
      <w:bookmarkStart w:id="322" w:name="Tc_8fGBk8VaKEW2hP5mf8caZQ_24_12"/>
      <w:bookmarkStart w:id="323" w:name="Tc_ayo-zmzzxk-VMb98V4INEg_24_10"/>
      <w:bookmarkStart w:id="324" w:name="Tc_oDnS6wH_UUOkPGEvIzAEYA_24_7"/>
      <w:bookmarkStart w:id="325" w:name="Tc_g6sgpKgSMEGyLLl-jR6_Ew_24_5"/>
      <w:bookmarkStart w:id="326" w:name="Tc_UJOfLKYeNU-_GkANfTR4og_24_2"/>
      <w:bookmarkStart w:id="327" w:name="Tc_0TXO_zQ2n0ezXAiRKJgLuw_24_0"/>
      <w:bookmarkStart w:id="328" w:name="Tc_MIMHKWRQv0yqaRyMRePBdw_23_24"/>
      <w:bookmarkStart w:id="329" w:name="Tc_N7OIsg14DUad5rqXwG-BHA_23_18"/>
      <w:bookmarkStart w:id="330" w:name="Tc_Kee-OU3NJE2AXxyGHDzbuQ_23_15"/>
      <w:bookmarkStart w:id="331" w:name="Tc_TUPult-rOkK6TeNN1qQ7JQ_23_12"/>
      <w:bookmarkStart w:id="332" w:name="Tc_OPBJ_YRFSUGf0PgLwmlPPA_23_10"/>
      <w:bookmarkStart w:id="333" w:name="Tc_sluNu3tLdki3Rat5a9RwUQ_23_7"/>
      <w:bookmarkStart w:id="334" w:name="Tc_fH4OSArV6UWSs2LuUPk4BA_23_5"/>
      <w:bookmarkStart w:id="335" w:name="Tc_C9IW_Y4GL0SxGkvo79UpuQ_23_2"/>
      <w:bookmarkStart w:id="336" w:name="Tc_cD1aXV_BtE-N_4iMTce4Ig_23_0"/>
      <w:bookmarkStart w:id="337" w:name="Tc_Iz7vPCiTx066NExvOTLYrQ_22_24"/>
      <w:bookmarkStart w:id="338" w:name="Tc_hbD5abkqSkaAkYKsFqVvoA_22_21"/>
      <w:bookmarkStart w:id="339" w:name="Tc_GQik6eLNSUy5b7XHzF0iFw_22_15"/>
      <w:bookmarkStart w:id="340" w:name="Tc_Jg9bmBgYSkGWpXRDJZB0hA_22_10"/>
      <w:bookmarkStart w:id="341" w:name="Tc_oLsm5kNtyEyDpbRWSkI_zw_22_7"/>
      <w:bookmarkStart w:id="342" w:name="Tc_rf7o53MgJEGj4x7EIFtsAQ_22_5"/>
      <w:bookmarkStart w:id="343" w:name="Tc_g_2Kh9q7JUuupaod-goFXA_22_2"/>
      <w:bookmarkStart w:id="344" w:name="Tc_VYMLTSxitkaQqAdj68JCQA_22_0"/>
      <w:bookmarkStart w:id="345" w:name="Tc_VqrDYtl2m0GS6g2KT5uY9A_21_24"/>
      <w:bookmarkStart w:id="346" w:name="Tc_vWb9qd3zWUKIMDorQ_aEdQ_21_21"/>
      <w:bookmarkStart w:id="347" w:name="Tc_oJ6BYvT6ZkCTabBqfzr1Sg_21_15"/>
      <w:bookmarkStart w:id="348" w:name="Tc_zunBy12wr0e4lXZjEBHvxQ_21_10"/>
      <w:bookmarkStart w:id="349" w:name="Tc_6GgVmpUhJUWwNKv7Un90zw_21_7"/>
      <w:bookmarkStart w:id="350" w:name="Tc__PbyFTfwhEK3luwtJuWhPQ_21_5"/>
      <w:bookmarkStart w:id="351" w:name="Tc_Sc98A42V9k-aK6PreMPk3w_21_2"/>
      <w:bookmarkStart w:id="352" w:name="Tc_4E_raQCiS065Gzx-DcVYng_21_0"/>
      <w:bookmarkStart w:id="353" w:name="Tc_YDjlDG3USUa_Eh3FEIJXGA_20_27"/>
      <w:bookmarkStart w:id="354" w:name="Tc_sc-lWmfbKEC2VwMVeFgpUA_20_24"/>
      <w:bookmarkStart w:id="355" w:name="Tc_GxftguuNnUq4BbUA8FXppQ_20_21"/>
      <w:bookmarkStart w:id="356" w:name="Tc_3HoC5Kl9lUCxvNOMERdVLQ_20_18"/>
      <w:bookmarkStart w:id="357" w:name="Tc_qP4cJF-OS0izCr9eCm4EKg_20_15"/>
      <w:bookmarkStart w:id="358" w:name="Tc_ku_NQspsaEKYmfUYFTdEXw_20_10"/>
      <w:bookmarkStart w:id="359" w:name="Tc_K_LwBb0xakWwua7YDfo0Aw_20_7"/>
      <w:bookmarkStart w:id="360" w:name="Tc_ghl-MFHUHE26M3-L6AT4rQ_20_5"/>
      <w:bookmarkStart w:id="361" w:name="Tc_LpTblHkP7EumOrf8ZBBRTA_20_2"/>
      <w:bookmarkStart w:id="362" w:name="Tc_K2j58pdFbUi-m71rtpfK0g_20_0"/>
      <w:bookmarkStart w:id="363" w:name="Tc_CneHCMikjUGdZO5Kj68rtQ_19_24"/>
      <w:bookmarkStart w:id="364" w:name="Tc_JhueR6EJ1UmVHdtPTmNKLA_19_21"/>
      <w:bookmarkStart w:id="365" w:name="Tc_ZGk0K0U4TEmdZMMLhVQtqA_19_15"/>
      <w:bookmarkStart w:id="366" w:name="Tc_oCkc-Wnw60GO-nReYCy0Cg_19_10"/>
      <w:bookmarkStart w:id="367" w:name="Tc_zErDy8G4ZkOivnhO-YSW5Q_19_7"/>
      <w:bookmarkStart w:id="368" w:name="Tc_nBZhgHtjB0OhffVg1HWROg_19_5"/>
      <w:bookmarkStart w:id="369" w:name="Tc_cQfGJbOj2EyzVkMh0newoQ_19_2"/>
      <w:bookmarkStart w:id="370" w:name="Tc_WBvJc4j8zUO9pLQCBZvSFg_19_0"/>
      <w:bookmarkStart w:id="371" w:name="Tc_1e1SL_sbikOM3uXlqUvu5g_18_24"/>
      <w:bookmarkStart w:id="372" w:name="Tc_On_vm1RALEOApnMiJnRlHg_18_21"/>
      <w:bookmarkStart w:id="373" w:name="Tc_fvCbgz29E0i6l05TR2xGjQ_18_15"/>
      <w:bookmarkStart w:id="374" w:name="Tc_QvlhDnlL90SggXaEwn9spg_18_12"/>
      <w:bookmarkStart w:id="375" w:name="Tc_ZIz31eZwJkSnW_DXIWXEtQ_18_10"/>
      <w:bookmarkStart w:id="376" w:name="Tc_u_fWVI7mxk2P5O92TWByKg_18_7"/>
      <w:bookmarkStart w:id="377" w:name="Tc_oJv2dymbOkuoUUlhBl8EXQ_18_5"/>
      <w:bookmarkStart w:id="378" w:name="Tc_zpeZAzX5NEa50Dt15MQ6cQ_18_2"/>
      <w:bookmarkStart w:id="379" w:name="Tc_PHvlSKIsSEWIgzKPuD0iTw_18_0"/>
      <w:bookmarkStart w:id="380" w:name="Tc_rROyksI-4UWWQx2m6_H2jg_17_26"/>
      <w:bookmarkStart w:id="381" w:name="Tc_Ptx2BzNhtEKUl44db-tcbg_17_23"/>
      <w:bookmarkStart w:id="382" w:name="Tc_9jTB1FX47UGDzrsbrFpawQ_17_20"/>
      <w:bookmarkStart w:id="383" w:name="Tc_SCmMpbPtIkCz05Pxxzb9WA_17_17"/>
      <w:bookmarkStart w:id="384" w:name="Tc_dwf-JQVUz0umxiil_xdCUg_17_14"/>
      <w:bookmarkStart w:id="385" w:name="Tc_Qfq0DO_P7UCEHn9LXxdzZA_17_9"/>
      <w:bookmarkStart w:id="386" w:name="Tc_f2MvheetHEeFOq0K_z39dg_17_5"/>
      <w:bookmarkStart w:id="387" w:name="Tc_lAd9UDjILEGnWXp8kyoYvg_17_4"/>
      <w:bookmarkStart w:id="388" w:name="Tc_X3HP-VuAE0OfdJUYkJYVMg_17_0"/>
      <w:bookmarkStart w:id="389" w:name="Tc_TsEPM1HYe0mK5w2IUUsxNg_15_26"/>
      <w:bookmarkStart w:id="390" w:name="Tc_ZEKf_MayKkWDRBHoMMvsKg_15_23"/>
      <w:bookmarkStart w:id="391" w:name="Tc_pludVhkAx0C143PtiEfrWA_15_20"/>
      <w:bookmarkStart w:id="392" w:name="Tc_sjOZ4oiSO0-6YSpFNDyUyw_15_17"/>
      <w:bookmarkStart w:id="393" w:name="Tc_h9fTjWPLkUi65L79ut6huA_15_14"/>
      <w:bookmarkStart w:id="394" w:name="Tc_z3s6C52rQkquz6hVWTi8tA_15_9"/>
      <w:bookmarkStart w:id="395" w:name="Tc_MzNK6g8qTUC8MN-PXljU0A_15_5"/>
      <w:bookmarkStart w:id="396" w:name="Tc_CVbM7XLJ1ECoVL4yfkLHeQ_15_4"/>
      <w:bookmarkStart w:id="397" w:name="Tc_gaa1cCRLUEC5ERTWy66Y-w_15_0"/>
      <w:bookmarkStart w:id="398" w:name="Tc_MT06fuiyakCsyuYCJAT0Pg_14_21"/>
      <w:bookmarkStart w:id="399" w:name="Tc_k0K9MRE82E2fRAQhtcTcRA_14_18"/>
      <w:bookmarkStart w:id="400" w:name="Tc_y25kw55fh0-Hu8uRhYkhng_14_15"/>
      <w:bookmarkStart w:id="401" w:name="Tc_AdLVuPYWc02mBmfCOM0iJw_14_12"/>
      <w:bookmarkStart w:id="402" w:name="Tc_4j_-YAnfsUahR3Lh7U_xkg_14_10"/>
      <w:bookmarkStart w:id="403" w:name="Tc_DiKl5XHmak-JUyWNc3_fQQ_14_7"/>
      <w:bookmarkStart w:id="404" w:name="Tc_eisbHw1ImEyZIi1dOlLs_Q_14_5"/>
      <w:bookmarkStart w:id="405" w:name="Tc_v8usOO4D70qV-wGQqTleIg_14_2"/>
      <w:bookmarkStart w:id="406" w:name="Tc_Dl6fQo4EP0y6OpQ_APylIg_14_0"/>
      <w:bookmarkStart w:id="407" w:name="Tc_1nK7MPbumEmGp-MsIVbBMA_13_24"/>
      <w:bookmarkStart w:id="408" w:name="Tc_nr4w8Em0iU-Hh_jRWJo_Bg_13_18"/>
      <w:bookmarkStart w:id="409" w:name="Tc_YcY1hqtTBk2WA0XdG05r2w_13_15"/>
      <w:bookmarkStart w:id="410" w:name="Tc_LuOP4g1-f0-f0dlcpr2vUw_13_12"/>
      <w:bookmarkStart w:id="411" w:name="Tc_79iHWG6A7E2zUYKlDs44Ew_13_10"/>
      <w:bookmarkStart w:id="412" w:name="Tc_tTw8oqLNG0O9rqO5svK5CA_13_7"/>
      <w:bookmarkStart w:id="413" w:name="Tc_O1a8HoneqE2P8zgYAJKNvw_13_5"/>
      <w:bookmarkStart w:id="414" w:name="Tc_QnijEU-KJECS3zNNqQDsiQ_13_2"/>
      <w:bookmarkStart w:id="415" w:name="Tc_lpVxfoKH2kK0cR14yLZR2g_13_0"/>
      <w:bookmarkStart w:id="416" w:name="Tc_IPdMSDhYOkyKKFTQAyjBxQ_12_24"/>
      <w:bookmarkStart w:id="417" w:name="Tc_qgfGGzZst0S9dHGmrxXKdA_12_18"/>
      <w:bookmarkStart w:id="418" w:name="Tc__yDv_-cFmUyDxGB684v-9w_12_15"/>
      <w:bookmarkStart w:id="419" w:name="Tc_PvQcP21kM0qGaY6H_XMJCQ_12_12"/>
      <w:bookmarkStart w:id="420" w:name="Tc_kTSTr_A3GU-CIYhPUOZRBA_12_10"/>
      <w:bookmarkStart w:id="421" w:name="Tc_Tl9dimLYTUWwlW9dGN22xw_12_7"/>
      <w:bookmarkStart w:id="422" w:name="Tc_xRV8iitK8E645-hrwJ38hg_12_5"/>
      <w:bookmarkStart w:id="423" w:name="Tc_cvBymqicB027m9UC6Yh7Cg_12_2"/>
      <w:bookmarkStart w:id="424" w:name="Tc_RMBcgWFelkyjFtR6dMV6hA_12_0"/>
      <w:bookmarkStart w:id="425" w:name="Tc_xkY-9UE2n0qYCvzScMfITw_11_24"/>
      <w:bookmarkStart w:id="426" w:name="Tc_oYA2tGXlekuXlo_0_1uGhg_11_21"/>
      <w:bookmarkStart w:id="427" w:name="Tc_dFsl4z5Yl06pm8VakUSGRA_11_10"/>
      <w:bookmarkStart w:id="428" w:name="Tc_s5nOeZ76skSi_7lCwGcTOg_11_7"/>
      <w:bookmarkStart w:id="429" w:name="Tc_isPFUoZzE0SvHeVAIsiCVw_11_5"/>
      <w:bookmarkStart w:id="430" w:name="Tc_9jQ9fQ4dK0ie97axnC9nCg_11_2"/>
      <w:bookmarkStart w:id="431" w:name="Tc_usMPLkZ4ukefh6a9W7PpUw_11_0"/>
      <w:bookmarkStart w:id="432" w:name="Tc_ejcT2jwQHkC95k9M65ZIqg_10_24"/>
      <w:bookmarkStart w:id="433" w:name="Tc_6-UER2jA10KXJFRTfliGkw_10_21"/>
      <w:bookmarkStart w:id="434" w:name="Tc_A8RFITqGd0uUYQ9xM6Gt1g_10_15"/>
      <w:bookmarkStart w:id="435" w:name="Tc_Sm7RPQDSCEySidTTpKu32A_10_10"/>
      <w:bookmarkStart w:id="436" w:name="Tc_9ld4fTE6FEGmWSqS8BSGTw_10_7"/>
      <w:bookmarkStart w:id="437" w:name="Tc_1xcDZy0M40uwuz7ed4_DGg_10_5"/>
      <w:bookmarkStart w:id="438" w:name="Tc_ClQps8mfpkWGCbLEN1pqwQ_10_2"/>
      <w:bookmarkStart w:id="439" w:name="Tc_Q3MUHJNtdU2gqWUrM-SVnw_10_0"/>
      <w:bookmarkStart w:id="440" w:name="Tc_FYg-8TShyUeVcgf4qh4-Mw_9_24"/>
      <w:bookmarkStart w:id="441" w:name="Tc_ZdMT5c22d0C87T-VBw0YsA_9_21"/>
      <w:bookmarkStart w:id="442" w:name="Tc_IaQ7FSqqyESYUquZ5ZbRPQ_9_15"/>
      <w:bookmarkStart w:id="443" w:name="Tc_GRJVBxdox0a2fY2_zvFeHA_9_10"/>
      <w:bookmarkStart w:id="444" w:name="Tc_7fNVSWhClU6f3F0xYompOg_9_7"/>
      <w:bookmarkStart w:id="445" w:name="Tc_PQgSrPZBrkmW_m4hUCyfig_9_5"/>
      <w:bookmarkStart w:id="446" w:name="Tc_s6pNFihYVECR0_px9TfWXQ_9_2"/>
      <w:bookmarkStart w:id="447" w:name="Tc_pqPdl3jbpUS0UlD_LSjjjw_9_0"/>
      <w:bookmarkStart w:id="448" w:name="Tc_NCG6MUxYG06rDrDlLw6wKA_8_27"/>
      <w:bookmarkStart w:id="449" w:name="Tc_Po7Wliszr0i2SEBYBnXi_A_8_24"/>
      <w:bookmarkStart w:id="450" w:name="Tc_AEEp4lq-AE21ZaLZEyUeeQ_8_21"/>
      <w:bookmarkStart w:id="451" w:name="Tc_4yMHe-0Rt0-PZgajYXYdcg_8_18"/>
      <w:bookmarkStart w:id="452" w:name="Tc_txC2qqFock2L3QOdnV3nNg_8_15"/>
      <w:bookmarkStart w:id="453" w:name="Tc_gtdCuLIySk-Ba6J1YMrDlg_8_10"/>
      <w:bookmarkStart w:id="454" w:name="Tc_EptfFYqf30anqWn_ikZVGg_8_7"/>
      <w:bookmarkStart w:id="455" w:name="Tc_n0PN5kFnC0m7Q1yiTBZMpQ_8_5"/>
      <w:bookmarkStart w:id="456" w:name="Tc_-r_aslAg0kyZDwsrBSTZsg_8_2"/>
      <w:bookmarkStart w:id="457" w:name="Tc_SiqEXDwj1kKUgouSiVXh_w_8_0"/>
      <w:bookmarkStart w:id="458" w:name="Tc_6zi8ScKNMkqy1a6pKHSG9Q_7_24"/>
      <w:bookmarkStart w:id="459" w:name="Tc_2scTX8bZKkCi-atbnCUhmw_7_21"/>
      <w:bookmarkStart w:id="460" w:name="Tc_3tsNEkbY1kKq78WiFgzkyA_7_15"/>
      <w:bookmarkStart w:id="461" w:name="Tc_u7mCBTPu006qEwGBBNMpkg_7_10"/>
      <w:bookmarkStart w:id="462" w:name="Tc_ClthuKu45EC_FNGRsLeAEQ_7_7"/>
      <w:bookmarkStart w:id="463" w:name="Tc_OfPC0kzzVkqHGxka0oUB9A_7_5"/>
      <w:bookmarkStart w:id="464" w:name="Tc_9iPimFqBqkWfTv44jtwiMw_7_2"/>
      <w:bookmarkStart w:id="465" w:name="Tc_lC2aYVF3VEe3JSYDfJ1MwA_7_0"/>
      <w:bookmarkStart w:id="466" w:name="Tc_16Oph2tynk2LHg7snoFr5Q_6_24"/>
      <w:bookmarkStart w:id="467" w:name="Tc_rM8Q3FrYqkaNV7F-R2lV7w_6_21"/>
      <w:bookmarkStart w:id="468" w:name="Tc_cCMjnXXM3U-P2vyG6EIpTA_6_15"/>
      <w:bookmarkStart w:id="469" w:name="Tc_KfzoYV1T5EKd5i_ucNL2MA_6_12"/>
      <w:bookmarkStart w:id="470" w:name="Tc_ffz6_dMQv0uUuY0npZpMOg_6_10"/>
      <w:bookmarkStart w:id="471" w:name="Tc_TomopaULy0eTtbNTy_gkcA_6_7"/>
      <w:bookmarkStart w:id="472" w:name="Tc_vXSi73SVtE259Erayb4HzQ_6_5"/>
      <w:bookmarkStart w:id="473" w:name="Tc_P381lpGtIkeDYFismw7Qvg_6_2"/>
      <w:bookmarkStart w:id="474" w:name="Tc_pgy5YQktZ0CdmxkZkznrhA_6_0"/>
      <w:bookmarkStart w:id="475" w:name="Tc_QYt-8SGrJUyDJsGKtx8faA_5_26"/>
      <w:bookmarkStart w:id="476" w:name="Tc_rFFt_9jNakiGsImK6FBAlA_5_23"/>
      <w:bookmarkStart w:id="477" w:name="Tc_5OCERiVDEk-PvpMp3MGDNg_5_20"/>
      <w:bookmarkStart w:id="478" w:name="Tc_p6s2Tev8NkuDGZVC6yeogQ_5_17"/>
      <w:bookmarkStart w:id="479" w:name="Tc_Q3LaMjGmckKguWFttUwM5w_5_14"/>
      <w:bookmarkStart w:id="480" w:name="Tc_pSUhmnaAEE-38N7BZ9F0ow_5_9"/>
      <w:bookmarkStart w:id="481" w:name="Tc_vccPuNgVXkyCLRmvCqF-jw_5_5"/>
      <w:bookmarkStart w:id="482" w:name="Tc_rtY4cPR2RUeoR_kD4DGo1g_5_4"/>
      <w:bookmarkStart w:id="483" w:name="Tc__hOVxd46kUq-btsa5fuO4w_5_0"/>
      <w:bookmarkStart w:id="484" w:name="Tc_ss7k0lscuk-LsOuDoq-LKA_4_26"/>
      <w:bookmarkStart w:id="485" w:name="Tc_IKBsITm190mc0hfnnNmODg_4_23"/>
      <w:bookmarkStart w:id="486" w:name="Tc_gcU-GeP7VUmOWRvkoiSZlQ_4_20"/>
      <w:bookmarkStart w:id="487" w:name="Tc_7BjyO_jcT0irfb2CJmK7zg_4_17"/>
      <w:bookmarkStart w:id="488" w:name="Tc_GJNsVg85p0-6zv0N1tsrcg_4_14"/>
      <w:bookmarkStart w:id="489" w:name="Tc_HtMLlUu0e0-WMNbZCgBX_Q_4_12"/>
      <w:bookmarkStart w:id="490" w:name="Tc_gJJA7a2bCkuS576dv6smRQ_4_9"/>
      <w:bookmarkStart w:id="491" w:name="Tc_A036U7vusE2domUbuGR7Iw_4_7"/>
      <w:bookmarkStart w:id="492" w:name="Tc_DIcDpE5-HU6IFgKaN14aKA_4_4"/>
      <w:bookmarkStart w:id="493" w:name="Tc_qgBeSodiDUucRAHWm2sK7w_4_2"/>
      <w:bookmarkStart w:id="494" w:name="Tc_sPkfH3FFqEK6OY-OX247Gw_3_26"/>
      <w:bookmarkStart w:id="495" w:name="Tc_CgLDA9roc0KwRB7vAZEMow_3_23"/>
      <w:bookmarkStart w:id="496" w:name="Tc_QQ5RE5wNh0unkg_kkDGlXg_3_20"/>
      <w:bookmarkStart w:id="497" w:name="Tc_H4iM7_jzYEGePnJftDtTfQ_3_17"/>
      <w:bookmarkStart w:id="498" w:name="Tc_8Yg6RYqCTEePlBdlyO6RzQ_3_12"/>
      <w:bookmarkStart w:id="499" w:name="Tc_6n42cdbYZE2w8noTxk4QQA_3_7"/>
      <w:bookmarkStart w:id="500" w:name="Tc_Rnepqv05_UusqrAj0j2EpQ_3_2"/>
      <w:bookmarkStart w:id="501" w:name="Tc_UKa7k-DneUaTLatEPerQkg_2_26"/>
      <w:bookmarkStart w:id="502" w:name="Tc_oK_c7NB23E-eE-wOMxid7A_2_20"/>
      <w:bookmarkStart w:id="503" w:name="Tc_COLfV2yBMEutpuB-U4-9zw_2_17"/>
      <w:bookmarkStart w:id="504" w:name="Tc_uDrDWLm1oEuDoa1x-9N-yA_2_7"/>
      <w:bookmarkStart w:id="505" w:name="Tc_joXFdXzTlka4wgK_HmQFBw_2_2"/>
      <w:bookmarkStart w:id="506" w:name="Tc_KGd_EPIn5EC3b4uCOYYOuw_1_7"/>
      <w:bookmarkStart w:id="507" w:name="Tc_o8yRMd16Wkmhjs7GAt4UBQ_1_2"/>
      <w:bookmarkStart w:id="508" w:name="_df3a88e8_0544_41ba_93eb_df8f28d02507"/>
      <w:bookmarkStart w:id="509" w:name="Tc_unhLHxlWPU6duH9bz3NpMA_26_26"/>
      <w:bookmarkStart w:id="510" w:name="Tc_MkUU5CDwMkeJ0E60IkZXlw_26_23"/>
      <w:bookmarkStart w:id="511" w:name="Tc_J-zW2je_NkCtJ6DrAT1xCA_26_20"/>
      <w:bookmarkStart w:id="512" w:name="Tc_LKDQrI9DVUKQLQiboduM7Q_26_17"/>
      <w:bookmarkStart w:id="513" w:name="Tc_PT1hcEXbF0W5o2tnoUTNLA_26_14"/>
      <w:bookmarkStart w:id="514" w:name="Tc_SgGIaHhPPECfBLYrHu76Pg_26_9"/>
      <w:bookmarkStart w:id="515" w:name="Tc_3vnRWe-LNke492SXbh-iYQ_26_5"/>
      <w:bookmarkStart w:id="516" w:name="Tc_6Kav1slpaUSRgkxRNeWE5Q_26_4"/>
      <w:bookmarkStart w:id="517" w:name="Tc__-eXThRFe0m587AeQavY6Q_26_0"/>
      <w:bookmarkStart w:id="518" w:name="Tc_W1LJPI_7_0GJ7IXxLWcBCA_25_21"/>
      <w:bookmarkStart w:id="519" w:name="Tc_R7AZnXeTMEew7_xTSi03Og_25_18"/>
      <w:bookmarkStart w:id="520" w:name="Tc_1gaK_3WdckW0vhklZF8YsA_25_15"/>
      <w:bookmarkStart w:id="521" w:name="Tc_udVGwdZ_ak-RyVRUShOpzw_25_12"/>
      <w:bookmarkStart w:id="522" w:name="Tc_YZb2AL3xVUeNG_365RA0wg_25_10"/>
      <w:bookmarkStart w:id="523" w:name="Tc_RDvOgYwLykKV3huxFtK55w_25_7"/>
      <w:bookmarkStart w:id="524" w:name="Tc_HaOQHY_0s0Ol3ZepodNzcQ_25_5"/>
      <w:bookmarkStart w:id="525" w:name="Tc_6PYgau9Fi06ylzhYjZpnog_25_2"/>
      <w:bookmarkStart w:id="526" w:name="Tc_8rrUSV6E5kOWz9i8srmBRg_25_0"/>
      <w:bookmarkStart w:id="527" w:name="Tc_8SilN4Re1UG7Uy168r9dHg_24_24"/>
      <w:bookmarkStart w:id="528" w:name="Tc_AGyGVJkEu0CYhTJHPVN4mQ_24_18"/>
      <w:bookmarkStart w:id="529" w:name="Tc_sOFAfmvTSUizDbPpKqCwsw_24_15"/>
      <w:bookmarkStart w:id="530" w:name="Tc_8fGBk8VaKEW2hP5mf8caZQ_24_12"/>
      <w:bookmarkStart w:id="531" w:name="Tc_ayo-zmzzxk-VMb98V4INEg_24_10"/>
      <w:bookmarkStart w:id="532" w:name="Tc_oDnS6wH_UUOkPGEvIzAEYA_24_7"/>
      <w:bookmarkStart w:id="533" w:name="Tc_g6sgpKgSMEGyLLl-jR6_Ew_24_5"/>
      <w:bookmarkStart w:id="534" w:name="Tc_UJOfLKYeNU-_GkANfTR4og_24_2"/>
      <w:bookmarkStart w:id="535" w:name="Tc_0TXO_zQ2n0ezXAiRKJgLuw_24_0"/>
      <w:bookmarkStart w:id="536" w:name="Tc_MIMHKWRQv0yqaRyMRePBdw_23_24"/>
      <w:bookmarkStart w:id="537" w:name="Tc_N7OIsg14DUad5rqXwG-BHA_23_18"/>
      <w:bookmarkStart w:id="538" w:name="Tc_Kee-OU3NJE2AXxyGHDzbuQ_23_15"/>
      <w:bookmarkStart w:id="539" w:name="Tc_TUPult-rOkK6TeNN1qQ7JQ_23_12"/>
      <w:bookmarkStart w:id="540" w:name="Tc_OPBJ_YRFSUGf0PgLwmlPPA_23_10"/>
      <w:bookmarkStart w:id="541" w:name="Tc_sluNu3tLdki3Rat5a9RwUQ_23_7"/>
      <w:bookmarkStart w:id="542" w:name="Tc_fH4OSArV6UWSs2LuUPk4BA_23_5"/>
      <w:bookmarkStart w:id="543" w:name="Tc_C9IW_Y4GL0SxGkvo79UpuQ_23_2"/>
      <w:bookmarkStart w:id="544" w:name="Tc_cD1aXV_BtE-N_4iMTce4Ig_23_0"/>
      <w:bookmarkStart w:id="545" w:name="Tc_Iz7vPCiTx066NExvOTLYrQ_22_24"/>
      <w:bookmarkStart w:id="546" w:name="Tc_hbD5abkqSkaAkYKsFqVvoA_22_21"/>
      <w:bookmarkStart w:id="547" w:name="Tc_GQik6eLNSUy5b7XHzF0iFw_22_15"/>
      <w:bookmarkStart w:id="548" w:name="Tc_Jg9bmBgYSkGWpXRDJZB0hA_22_10"/>
      <w:bookmarkStart w:id="549" w:name="Tc_oLsm5kNtyEyDpbRWSkI_zw_22_7"/>
      <w:bookmarkStart w:id="550" w:name="Tc_rf7o53MgJEGj4x7EIFtsAQ_22_5"/>
      <w:bookmarkStart w:id="551" w:name="Tc_g_2Kh9q7JUuupaod-goFXA_22_2"/>
      <w:bookmarkStart w:id="552" w:name="Tc_VYMLTSxitkaQqAdj68JCQA_22_0"/>
      <w:bookmarkStart w:id="553" w:name="Tc_VqrDYtl2m0GS6g2KT5uY9A_21_24"/>
      <w:bookmarkStart w:id="554" w:name="Tc_vWb9qd3zWUKIMDorQ_aEdQ_21_21"/>
      <w:bookmarkStart w:id="555" w:name="Tc_oJ6BYvT6ZkCTabBqfzr1Sg_21_15"/>
      <w:bookmarkStart w:id="556" w:name="Tc_zunBy12wr0e4lXZjEBHvxQ_21_10"/>
      <w:bookmarkStart w:id="557" w:name="Tc_6GgVmpUhJUWwNKv7Un90zw_21_7"/>
      <w:bookmarkStart w:id="558" w:name="Tc__PbyFTfwhEK3luwtJuWhPQ_21_5"/>
      <w:bookmarkStart w:id="559" w:name="Tc_Sc98A42V9k-aK6PreMPk3w_21_2"/>
      <w:bookmarkStart w:id="560" w:name="Tc_4E_raQCiS065Gzx-DcVYng_21_0"/>
      <w:bookmarkStart w:id="561" w:name="Tc_YDjlDG3USUa_Eh3FEIJXGA_20_27"/>
      <w:bookmarkStart w:id="562" w:name="Tc_sc-lWmfbKEC2VwMVeFgpUA_20_24"/>
      <w:bookmarkStart w:id="563" w:name="Tc_GxftguuNnUq4BbUA8FXppQ_20_21"/>
      <w:bookmarkStart w:id="564" w:name="Tc_3HoC5Kl9lUCxvNOMERdVLQ_20_18"/>
      <w:bookmarkStart w:id="565" w:name="Tc_qP4cJF-OS0izCr9eCm4EKg_20_15"/>
      <w:bookmarkStart w:id="566" w:name="Tc_ku_NQspsaEKYmfUYFTdEXw_20_10"/>
      <w:bookmarkStart w:id="567" w:name="Tc_K_LwBb0xakWwua7YDfo0Aw_20_7"/>
      <w:bookmarkStart w:id="568" w:name="Tc_ghl-MFHUHE26M3-L6AT4rQ_20_5"/>
      <w:bookmarkStart w:id="569" w:name="Tc_LpTblHkP7EumOrf8ZBBRTA_20_2"/>
      <w:bookmarkStart w:id="570" w:name="Tc_K2j58pdFbUi-m71rtpfK0g_20_0"/>
      <w:bookmarkStart w:id="571" w:name="Tc_CneHCMikjUGdZO5Kj68rtQ_19_24"/>
      <w:bookmarkStart w:id="572" w:name="Tc_JhueR6EJ1UmVHdtPTmNKLA_19_21"/>
      <w:bookmarkStart w:id="573" w:name="Tc_ZGk0K0U4TEmdZMMLhVQtqA_19_15"/>
      <w:bookmarkStart w:id="574" w:name="Tc_oCkc-Wnw60GO-nReYCy0Cg_19_10"/>
      <w:bookmarkStart w:id="575" w:name="Tc_zErDy8G4ZkOivnhO-YSW5Q_19_7"/>
      <w:bookmarkStart w:id="576" w:name="Tc_nBZhgHtjB0OhffVg1HWROg_19_5"/>
      <w:bookmarkStart w:id="577" w:name="Tc_cQfGJbOj2EyzVkMh0newoQ_19_2"/>
      <w:bookmarkStart w:id="578" w:name="Tc_WBvJc4j8zUO9pLQCBZvSFg_19_0"/>
      <w:bookmarkStart w:id="579" w:name="Tc_1e1SL_sbikOM3uXlqUvu5g_18_24"/>
      <w:bookmarkStart w:id="580" w:name="Tc_On_vm1RALEOApnMiJnRlHg_18_21"/>
      <w:bookmarkStart w:id="581" w:name="Tc_fvCbgz29E0i6l05TR2xGjQ_18_15"/>
      <w:bookmarkStart w:id="582" w:name="Tc_QvlhDnlL90SggXaEwn9spg_18_12"/>
      <w:bookmarkStart w:id="583" w:name="Tc_ZIz31eZwJkSnW_DXIWXEtQ_18_10"/>
      <w:bookmarkStart w:id="584" w:name="Tc_u_fWVI7mxk2P5O92TWByKg_18_7"/>
      <w:bookmarkStart w:id="585" w:name="Tc_oJv2dymbOkuoUUlhBl8EXQ_18_5"/>
      <w:bookmarkStart w:id="586" w:name="Tc_zpeZAzX5NEa50Dt15MQ6cQ_18_2"/>
      <w:bookmarkStart w:id="587" w:name="Tc_PHvlSKIsSEWIgzKPuD0iTw_18_0"/>
      <w:bookmarkStart w:id="588" w:name="Tc_rROyksI-4UWWQx2m6_H2jg_17_26"/>
      <w:bookmarkStart w:id="589" w:name="Tc_Ptx2BzNhtEKUl44db-tcbg_17_23"/>
      <w:bookmarkStart w:id="590" w:name="Tc_9jTB1FX47UGDzrsbrFpawQ_17_20"/>
      <w:bookmarkStart w:id="591" w:name="Tc_SCmMpbPtIkCz05Pxxzb9WA_17_17"/>
      <w:bookmarkStart w:id="592" w:name="Tc_dwf-JQVUz0umxiil_xdCUg_17_14"/>
      <w:bookmarkStart w:id="593" w:name="Tc_Qfq0DO_P7UCEHn9LXxdzZA_17_9"/>
      <w:bookmarkStart w:id="594" w:name="Tc_f2MvheetHEeFOq0K_z39dg_17_5"/>
      <w:bookmarkStart w:id="595" w:name="Tc_lAd9UDjILEGnWXp8kyoYvg_17_4"/>
      <w:bookmarkStart w:id="596" w:name="Tc_X3HP-VuAE0OfdJUYkJYVMg_17_0"/>
      <w:bookmarkStart w:id="597" w:name="Tc_TsEPM1HYe0mK5w2IUUsxNg_15_26"/>
      <w:bookmarkStart w:id="598" w:name="Tc_ZEKf_MayKkWDRBHoMMvsKg_15_23"/>
      <w:bookmarkStart w:id="599" w:name="Tc_pludVhkAx0C143PtiEfrWA_15_20"/>
      <w:bookmarkStart w:id="600" w:name="Tc_sjOZ4oiSO0-6YSpFNDyUyw_15_17"/>
      <w:bookmarkStart w:id="601" w:name="Tc_h9fTjWPLkUi65L79ut6huA_15_14"/>
      <w:bookmarkStart w:id="602" w:name="Tc_z3s6C52rQkquz6hVWTi8tA_15_9"/>
      <w:bookmarkStart w:id="603" w:name="Tc_MzNK6g8qTUC8MN-PXljU0A_15_5"/>
      <w:bookmarkStart w:id="604" w:name="Tc_CVbM7XLJ1ECoVL4yfkLHeQ_15_4"/>
      <w:bookmarkStart w:id="605" w:name="Tc_gaa1cCRLUEC5ERTWy66Y-w_15_0"/>
      <w:bookmarkStart w:id="606" w:name="Tc_MT06fuiyakCsyuYCJAT0Pg_14_21"/>
      <w:bookmarkStart w:id="607" w:name="Tc_k0K9MRE82E2fRAQhtcTcRA_14_18"/>
      <w:bookmarkStart w:id="608" w:name="Tc_y25kw55fh0-Hu8uRhYkhng_14_15"/>
      <w:bookmarkStart w:id="609" w:name="Tc_AdLVuPYWc02mBmfCOM0iJw_14_12"/>
      <w:bookmarkStart w:id="610" w:name="Tc_4j_-YAnfsUahR3Lh7U_xkg_14_10"/>
      <w:bookmarkStart w:id="611" w:name="Tc_DiKl5XHmak-JUyWNc3_fQQ_14_7"/>
      <w:bookmarkStart w:id="612" w:name="Tc_eisbHw1ImEyZIi1dOlLs_Q_14_5"/>
      <w:bookmarkStart w:id="613" w:name="Tc_v8usOO4D70qV-wGQqTleIg_14_2"/>
      <w:bookmarkStart w:id="614" w:name="Tc_Dl6fQo4EP0y6OpQ_APylIg_14_0"/>
      <w:bookmarkStart w:id="615" w:name="Tc_1nK7MPbumEmGp-MsIVbBMA_13_24"/>
      <w:bookmarkStart w:id="616" w:name="Tc_nr4w8Em0iU-Hh_jRWJo_Bg_13_18"/>
      <w:bookmarkStart w:id="617" w:name="Tc_YcY1hqtTBk2WA0XdG05r2w_13_15"/>
      <w:bookmarkStart w:id="618" w:name="Tc_LuOP4g1-f0-f0dlcpr2vUw_13_12"/>
      <w:bookmarkStart w:id="619" w:name="Tc_79iHWG6A7E2zUYKlDs44Ew_13_10"/>
      <w:bookmarkStart w:id="620" w:name="Tc_tTw8oqLNG0O9rqO5svK5CA_13_7"/>
      <w:bookmarkStart w:id="621" w:name="Tc_O1a8HoneqE2P8zgYAJKNvw_13_5"/>
      <w:bookmarkStart w:id="622" w:name="Tc_QnijEU-KJECS3zNNqQDsiQ_13_2"/>
      <w:bookmarkStart w:id="623" w:name="Tc_lpVxfoKH2kK0cR14yLZR2g_13_0"/>
      <w:bookmarkStart w:id="624" w:name="Tc_IPdMSDhYOkyKKFTQAyjBxQ_12_24"/>
      <w:bookmarkStart w:id="625" w:name="Tc_qgfGGzZst0S9dHGmrxXKdA_12_18"/>
      <w:bookmarkStart w:id="626" w:name="Tc__yDv_-cFmUyDxGB684v-9w_12_15"/>
      <w:bookmarkStart w:id="627" w:name="Tc_PvQcP21kM0qGaY6H_XMJCQ_12_12"/>
      <w:bookmarkStart w:id="628" w:name="Tc_kTSTr_A3GU-CIYhPUOZRBA_12_10"/>
      <w:bookmarkStart w:id="629" w:name="Tc_Tl9dimLYTUWwlW9dGN22xw_12_7"/>
      <w:bookmarkStart w:id="630" w:name="Tc_xRV8iitK8E645-hrwJ38hg_12_5"/>
      <w:bookmarkStart w:id="631" w:name="Tc_cvBymqicB027m9UC6Yh7Cg_12_2"/>
      <w:bookmarkStart w:id="632" w:name="Tc_RMBcgWFelkyjFtR6dMV6hA_12_0"/>
      <w:bookmarkStart w:id="633" w:name="Tc_xkY-9UE2n0qYCvzScMfITw_11_24"/>
      <w:bookmarkStart w:id="634" w:name="Tc_oYA2tGXlekuXlo_0_1uGhg_11_21"/>
      <w:bookmarkStart w:id="635" w:name="Tc_dFsl4z5Yl06pm8VakUSGRA_11_10"/>
      <w:bookmarkStart w:id="636" w:name="Tc_s5nOeZ76skSi_7lCwGcTOg_11_7"/>
      <w:bookmarkStart w:id="637" w:name="Tc_isPFUoZzE0SvHeVAIsiCVw_11_5"/>
      <w:bookmarkStart w:id="638" w:name="Tc_9jQ9fQ4dK0ie97axnC9nCg_11_2"/>
      <w:bookmarkStart w:id="639" w:name="Tc_usMPLkZ4ukefh6a9W7PpUw_11_0"/>
      <w:bookmarkStart w:id="640" w:name="Tc_ejcT2jwQHkC95k9M65ZIqg_10_24"/>
      <w:bookmarkStart w:id="641" w:name="Tc_6-UER2jA10KXJFRTfliGkw_10_21"/>
      <w:bookmarkStart w:id="642" w:name="Tc_A8RFITqGd0uUYQ9xM6Gt1g_10_15"/>
      <w:bookmarkStart w:id="643" w:name="Tc_Sm7RPQDSCEySidTTpKu32A_10_10"/>
      <w:bookmarkStart w:id="644" w:name="Tc_9ld4fTE6FEGmWSqS8BSGTw_10_7"/>
      <w:bookmarkStart w:id="645" w:name="Tc_1xcDZy0M40uwuz7ed4_DGg_10_5"/>
      <w:bookmarkStart w:id="646" w:name="Tc_ClQps8mfpkWGCbLEN1pqwQ_10_2"/>
      <w:bookmarkStart w:id="647" w:name="Tc_Q3MUHJNtdU2gqWUrM-SVnw_10_0"/>
      <w:bookmarkStart w:id="648" w:name="Tc_FYg-8TShyUeVcgf4qh4-Mw_9_24"/>
      <w:bookmarkStart w:id="649" w:name="Tc_ZdMT5c22d0C87T-VBw0YsA_9_21"/>
      <w:bookmarkStart w:id="650" w:name="Tc_IaQ7FSqqyESYUquZ5ZbRPQ_9_15"/>
      <w:bookmarkStart w:id="651" w:name="Tc_GRJVBxdox0a2fY2_zvFeHA_9_10"/>
      <w:bookmarkStart w:id="652" w:name="Tc_7fNVSWhClU6f3F0xYompOg_9_7"/>
      <w:bookmarkStart w:id="653" w:name="Tc_PQgSrPZBrkmW_m4hUCyfig_9_5"/>
      <w:bookmarkStart w:id="654" w:name="Tc_s6pNFihYVECR0_px9TfWXQ_9_2"/>
      <w:bookmarkStart w:id="655" w:name="Tc_pqPdl3jbpUS0UlD_LSjjjw_9_0"/>
      <w:bookmarkStart w:id="656" w:name="Tc_NCG6MUxYG06rDrDlLw6wKA_8_27"/>
      <w:bookmarkStart w:id="657" w:name="Tc_Po7Wliszr0i2SEBYBnXi_A_8_24"/>
      <w:bookmarkStart w:id="658" w:name="Tc_AEEp4lq-AE21ZaLZEyUeeQ_8_21"/>
      <w:bookmarkStart w:id="659" w:name="Tc_4yMHe-0Rt0-PZgajYXYdcg_8_18"/>
      <w:bookmarkStart w:id="660" w:name="Tc_txC2qqFock2L3QOdnV3nNg_8_15"/>
      <w:bookmarkStart w:id="661" w:name="Tc_gtdCuLIySk-Ba6J1YMrDlg_8_10"/>
      <w:bookmarkStart w:id="662" w:name="Tc_EptfFYqf30anqWn_ikZVGg_8_7"/>
      <w:bookmarkStart w:id="663" w:name="Tc_n0PN5kFnC0m7Q1yiTBZMpQ_8_5"/>
      <w:bookmarkStart w:id="664" w:name="Tc_-r_aslAg0kyZDwsrBSTZsg_8_2"/>
      <w:bookmarkStart w:id="665" w:name="Tc_SiqEXDwj1kKUgouSiVXh_w_8_0"/>
      <w:bookmarkStart w:id="666" w:name="Tc_6zi8ScKNMkqy1a6pKHSG9Q_7_24"/>
      <w:bookmarkStart w:id="667" w:name="Tc_2scTX8bZKkCi-atbnCUhmw_7_21"/>
      <w:bookmarkStart w:id="668" w:name="Tc_3tsNEkbY1kKq78WiFgzkyA_7_15"/>
      <w:bookmarkStart w:id="669" w:name="Tc_u7mCBTPu006qEwGBBNMpkg_7_10"/>
      <w:bookmarkStart w:id="670" w:name="Tc_ClthuKu45EC_FNGRsLeAEQ_7_7"/>
      <w:bookmarkStart w:id="671" w:name="Tc_OfPC0kzzVkqHGxka0oUB9A_7_5"/>
      <w:bookmarkStart w:id="672" w:name="Tc_9iPimFqBqkWfTv44jtwiMw_7_2"/>
      <w:bookmarkStart w:id="673" w:name="Tc_lC2aYVF3VEe3JSYDfJ1MwA_7_0"/>
      <w:bookmarkStart w:id="674" w:name="Tc_16Oph2tynk2LHg7snoFr5Q_6_24"/>
      <w:bookmarkStart w:id="675" w:name="Tc_rM8Q3FrYqkaNV7F-R2lV7w_6_21"/>
      <w:bookmarkStart w:id="676" w:name="Tc_cCMjnXXM3U-P2vyG6EIpTA_6_15"/>
      <w:bookmarkStart w:id="677" w:name="Tc_KfzoYV1T5EKd5i_ucNL2MA_6_12"/>
      <w:bookmarkStart w:id="678" w:name="Tc_ffz6_dMQv0uUuY0npZpMOg_6_10"/>
      <w:bookmarkStart w:id="679" w:name="Tc_TomopaULy0eTtbNTy_gkcA_6_7"/>
      <w:bookmarkStart w:id="680" w:name="Tc_vXSi73SVtE259Erayb4HzQ_6_5"/>
      <w:bookmarkStart w:id="681" w:name="Tc_P381lpGtIkeDYFismw7Qvg_6_2"/>
      <w:bookmarkStart w:id="682" w:name="Tc_pgy5YQktZ0CdmxkZkznrhA_6_0"/>
      <w:bookmarkStart w:id="683" w:name="Tc_QYt-8SGrJUyDJsGKtx8faA_5_26"/>
      <w:bookmarkStart w:id="684" w:name="Tc_rFFt_9jNakiGsImK6FBAlA_5_23"/>
      <w:bookmarkStart w:id="685" w:name="Tc_5OCERiVDEk-PvpMp3MGDNg_5_20"/>
      <w:bookmarkStart w:id="686" w:name="Tc_p6s2Tev8NkuDGZVC6yeogQ_5_17"/>
      <w:bookmarkStart w:id="687" w:name="Tc_Q3LaMjGmckKguWFttUwM5w_5_14"/>
      <w:bookmarkStart w:id="688" w:name="Tc_pSUhmnaAEE-38N7BZ9F0ow_5_9"/>
      <w:bookmarkStart w:id="689" w:name="Tc_vccPuNgVXkyCLRmvCqF-jw_5_5"/>
      <w:bookmarkStart w:id="690" w:name="Tc_rtY4cPR2RUeoR_kD4DGo1g_5_4"/>
      <w:bookmarkStart w:id="691" w:name="Tc__hOVxd46kUq-btsa5fuO4w_5_0"/>
      <w:bookmarkStart w:id="692" w:name="Tc_ss7k0lscuk-LsOuDoq-LKA_4_26"/>
      <w:bookmarkStart w:id="693" w:name="Tc_IKBsITm190mc0hfnnNmODg_4_23"/>
      <w:bookmarkStart w:id="694" w:name="Tc_gcU-GeP7VUmOWRvkoiSZlQ_4_20"/>
      <w:bookmarkStart w:id="695" w:name="Tc_7BjyO_jcT0irfb2CJmK7zg_4_17"/>
      <w:bookmarkStart w:id="696" w:name="Tc_GJNsVg85p0-6zv0N1tsrcg_4_14"/>
      <w:bookmarkStart w:id="697" w:name="Tc_HtMLlUu0e0-WMNbZCgBX_Q_4_12"/>
      <w:bookmarkStart w:id="698" w:name="Tc_gJJA7a2bCkuS576dv6smRQ_4_9"/>
      <w:bookmarkStart w:id="699" w:name="Tc_A036U7vusE2domUbuGR7Iw_4_7"/>
      <w:bookmarkStart w:id="700" w:name="Tc_DIcDpE5-HU6IFgKaN14aKA_4_4"/>
      <w:bookmarkStart w:id="701" w:name="Tc_qgBeSodiDUucRAHWm2sK7w_4_2"/>
      <w:bookmarkStart w:id="702" w:name="Tc_sPkfH3FFqEK6OY-OX247Gw_3_26"/>
      <w:bookmarkStart w:id="703" w:name="Tc_CgLDA9roc0KwRB7vAZEMow_3_23"/>
      <w:bookmarkStart w:id="704" w:name="Tc_QQ5RE5wNh0unkg_kkDGlXg_3_20"/>
      <w:bookmarkStart w:id="705" w:name="Tc_H4iM7_jzYEGePnJftDtTfQ_3_17"/>
      <w:bookmarkStart w:id="706" w:name="Tc_8Yg6RYqCTEePlBdlyO6RzQ_3_12"/>
      <w:bookmarkStart w:id="707" w:name="Tc_6n42cdbYZE2w8noTxk4QQA_3_7"/>
      <w:bookmarkStart w:id="708" w:name="Tc_Rnepqv05_UusqrAj0j2EpQ_3_2"/>
      <w:bookmarkStart w:id="709" w:name="Tc_UKa7k-DneUaTLatEPerQkg_2_26"/>
      <w:bookmarkStart w:id="710" w:name="Tc_oK_c7NB23E-eE-wOMxid7A_2_20"/>
      <w:bookmarkStart w:id="711" w:name="Tc_COLfV2yBMEutpuB-U4-9zw_2_17"/>
      <w:bookmarkStart w:id="712" w:name="Tc_uDrDWLm1oEuDoa1x-9N-yA_2_7"/>
      <w:bookmarkStart w:id="713" w:name="Tc_joXFdXzTlka4wgK_HmQFBw_2_2"/>
      <w:bookmarkStart w:id="714" w:name="Tc_KGd_EPIn5EC3b4uCOYYOuw_1_7"/>
      <w:bookmarkStart w:id="715" w:name="Tc_o8yRMd16Wkmhjs7GAt4UBQ_1_2"/>
      <w:bookmarkStart w:id="716" w:name="_df3a88e8_0544_41ba_93eb_df8f28d02507"/>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tbl>
      <w:tblPr>
        <w:tblW w:w="14303" w:type="dxa"/>
        <w:jc w:val="left"/>
        <w:tblInd w:w="0" w:type="dxa"/>
        <w:tblLayout w:type="fixed"/>
        <w:tblCellMar>
          <w:top w:w="0" w:type="dxa"/>
          <w:left w:w="0" w:type="dxa"/>
          <w:bottom w:w="0" w:type="dxa"/>
          <w:right w:w="0" w:type="dxa"/>
        </w:tblCellMar>
      </w:tblPr>
      <w:tblGrid>
        <w:gridCol w:w="1636"/>
        <w:gridCol w:w="346"/>
        <w:gridCol w:w="586"/>
        <w:gridCol w:w="346"/>
        <w:gridCol w:w="249"/>
        <w:gridCol w:w="442"/>
        <w:gridCol w:w="346"/>
        <w:gridCol w:w="826"/>
        <w:gridCol w:w="346"/>
        <w:gridCol w:w="249"/>
        <w:gridCol w:w="442"/>
        <w:gridCol w:w="346"/>
        <w:gridCol w:w="1006"/>
        <w:gridCol w:w="346"/>
        <w:gridCol w:w="249"/>
        <w:gridCol w:w="442"/>
        <w:gridCol w:w="346"/>
        <w:gridCol w:w="196"/>
        <w:gridCol w:w="826"/>
        <w:gridCol w:w="346"/>
        <w:gridCol w:w="376"/>
        <w:gridCol w:w="1155"/>
        <w:gridCol w:w="346"/>
        <w:gridCol w:w="196"/>
        <w:gridCol w:w="886"/>
        <w:gridCol w:w="346"/>
        <w:gridCol w:w="213"/>
        <w:gridCol w:w="868"/>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38860" cy="175260"/>
                      <wp:effectExtent l="0" t="0" r="0" b="0"/>
                      <wp:wrapNone/>
                      <wp:docPr id="34" name="Frame3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72110" cy="175260"/>
                      <wp:effectExtent l="0" t="0" r="0" b="0"/>
                      <wp:wrapNone/>
                      <wp:docPr id="36" name="Frame3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58115" cy="175260"/>
                      <wp:effectExtent l="0" t="0" r="0" b="0"/>
                      <wp:wrapNone/>
                      <wp:docPr id="38" name="Frame3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80670" cy="175260"/>
                      <wp:effectExtent l="0" t="0" r="0" b="0"/>
                      <wp:wrapNone/>
                      <wp:docPr id="39" name="Frame3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24510" cy="175260"/>
                      <wp:effectExtent l="0" t="0" r="0" b="0"/>
                      <wp:wrapNone/>
                      <wp:docPr id="41" name="Frame4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8115" cy="175260"/>
                      <wp:effectExtent l="0" t="0" r="0" b="0"/>
                      <wp:wrapNone/>
                      <wp:docPr id="43" name="Frame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0670" cy="175260"/>
                      <wp:effectExtent l="0" t="0" r="0" b="0"/>
                      <wp:wrapNone/>
                      <wp:docPr id="44" name="Frame4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38810" cy="175260"/>
                      <wp:effectExtent l="0" t="0" r="0" b="0"/>
                      <wp:wrapNone/>
                      <wp:docPr id="46" name="Frame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8115" cy="175260"/>
                      <wp:effectExtent l="0" t="0" r="0" b="0"/>
                      <wp:wrapNone/>
                      <wp:docPr id="48" name="Frame4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80670" cy="175260"/>
                      <wp:effectExtent l="0" t="0" r="0" b="0"/>
                      <wp:wrapNone/>
                      <wp:docPr id="49" name="Frame4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4510" cy="175260"/>
                      <wp:effectExtent l="0" t="0" r="0" b="0"/>
                      <wp:wrapNone/>
                      <wp:docPr id="52"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38760" cy="175260"/>
                      <wp:effectExtent l="0" t="0" r="0" b="0"/>
                      <wp:wrapNone/>
                      <wp:docPr id="54" name="Frame5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33425" cy="175260"/>
                      <wp:effectExtent l="0" t="0" r="0" b="0"/>
                      <wp:wrapNone/>
                      <wp:docPr id="55" name="Frame55"/>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62610" cy="175260"/>
                      <wp:effectExtent l="0" t="0" r="0" b="0"/>
                      <wp:wrapNone/>
                      <wp:docPr id="58" name="Frame5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5255" cy="175260"/>
                      <wp:effectExtent l="0" t="0" r="0" b="0"/>
                      <wp:wrapNone/>
                      <wp:docPr id="60" name="Frame6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51180" cy="175260"/>
                      <wp:effectExtent l="0" t="0" r="0" b="0"/>
                      <wp:wrapNone/>
                      <wp:docPr id="61" name="Frame61"/>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A </w:t>
            </w:r>
          </w:p>
        </w:tc>
        <w:tc>
          <w:tcPr>
            <w:tcW w:w="346" w:type="dxa"/>
            <w:tcBorders/>
            <w:vAlign w:val="center"/>
          </w:tcPr>
          <w:p>
            <w:pPr>
              <w:pStyle w:val="TableContents"/>
              <w:bidi w:val="0"/>
              <w:spacing w:before="0" w:after="0"/>
              <w:ind w:left="0" w:right="0" w:hanging="0"/>
              <w:jc w:val="center"/>
              <w:rPr/>
            </w:pPr>
            <w:r>
              <w:rPr/>
              <w:t>​</w:t>
            </w:r>
          </w:p>
        </w:tc>
        <w:tc>
          <w:tcPr>
            <w:tcW w:w="186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B</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0"/>
              <w:ind w:left="0" w:right="0" w:hanging="0"/>
              <w:jc w:val="center"/>
              <w:rPr/>
            </w:pPr>
            <w:r>
              <w:rPr/>
              <w:t>​</w:t>
            </w:r>
          </w:p>
        </w:tc>
        <w:tc>
          <w:tcPr>
            <w:tcW w:w="186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0"/>
              <w:ind w:left="0" w:right="0" w:hanging="0"/>
              <w:jc w:val="center"/>
              <w:rPr/>
            </w:pPr>
            <w:r>
              <w:rPr/>
              <w:t>​</w:t>
            </w:r>
          </w:p>
        </w:tc>
        <w:tc>
          <w:tcPr>
            <w:tcW w:w="18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0"/>
              <w:ind w:left="0" w:right="0" w:hanging="0"/>
              <w:jc w:val="center"/>
              <w:rPr/>
            </w:pPr>
            <w:r>
              <w:rPr/>
              <w:t>​</w:t>
            </w:r>
          </w:p>
        </w:tc>
        <w:tc>
          <w:tcPr>
            <w:tcW w:w="20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438,106,537</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3,563,659</w:t>
            </w:r>
          </w:p>
        </w:tc>
        <w:tc>
          <w:tcPr>
            <w:tcW w:w="346" w:type="dxa"/>
            <w:tcBorders/>
            <w:shd w:fill="CCEEFF" w:val="clear"/>
            <w:vAlign w:val="center"/>
          </w:tcPr>
          <w:p>
            <w:pPr>
              <w:pStyle w:val="TableContents"/>
              <w:bidi w:val="0"/>
              <w:spacing w:before="0" w:after="0"/>
              <w:ind w:left="0" w:right="0" w:hanging="0"/>
              <w:jc w:val="righ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(2,854,575)</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721,754</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11,890</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11,890</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448,277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691,716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(284,889)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sold in public and/or at the market offering, net of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14,000,743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49,566</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49,567</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on investments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cumulative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(47,315)</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(47,315)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452,971,016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3,624,836</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(2,901,890)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736,045</w:t>
            </w:r>
          </w:p>
        </w:tc>
      </w:tr>
      <w:tr>
        <w:trPr/>
        <w:tc>
          <w:tcPr>
            <w:tcW w:w="16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333,934,387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3,262,270</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(2,500,715)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767,865</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14,484</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14,484</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355,708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583,120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(257,496)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sold in public and/or at the market offerings, net of offering costs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7,303,645</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13,067</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13,067</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cumulative translation adjustment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14,595</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(111,658)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(111,658)</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June 30, 2025</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341,919,364</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3,289,986</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(2,612,373)</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698,488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information)</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717" w:name="Tc_K-IZK4I7Qk2TbnAEoFpyVQ_28_26"/>
      <w:bookmarkStart w:id="718" w:name="Tc_fpSj6kGfAk-JDyZ3SEO-Hg_28_23"/>
      <w:bookmarkStart w:id="719" w:name="Tc_uNWuatD9B0eZ71fyAl1ylQ_28_20"/>
      <w:bookmarkStart w:id="720" w:name="Tc_wH0cam9nB0e65oS_aOWjWg_28_17"/>
      <w:bookmarkStart w:id="721" w:name="Tc_pOSNswH1KEKWaSdEWuhpSg_28_14"/>
      <w:bookmarkStart w:id="722" w:name="Tc_St9a10suQEOoQWxrkoZUvw_28_9"/>
      <w:bookmarkStart w:id="723" w:name="Tc_VtQ1DllBCkq2uvgOOy7eCw_28_5"/>
      <w:bookmarkStart w:id="724" w:name="Tc_LXgIPiSjk0KLTE6JIUYnzQ_28_4"/>
      <w:bookmarkStart w:id="725" w:name="Tc_M8JKba3P5EiKffvPq-LTuw_28_0"/>
      <w:bookmarkStart w:id="726" w:name="Tc_eg1Q-5sIlk-22L52Su5YXA_27_21"/>
      <w:bookmarkStart w:id="727" w:name="Tc_JJQTJYeJqUarCtfEgXv9_w_27_18"/>
      <w:bookmarkStart w:id="728" w:name="Tc_v9eEJuCH90G7EvASD_upRQ_27_15"/>
      <w:bookmarkStart w:id="729" w:name="Tc_MOJ_trJtzEGKK9X31FBJFQ_27_12"/>
      <w:bookmarkStart w:id="730" w:name="Tc_VyuecpJDckS2rx3TbU5WkA_27_10"/>
      <w:bookmarkStart w:id="731" w:name="Tc_6-cMR5yiGEKPb_B09ZS6VA_27_7"/>
      <w:bookmarkStart w:id="732" w:name="Tc_J0Tn6iDlk0uKfRdoOOCMRg_27_5"/>
      <w:bookmarkStart w:id="733" w:name="Tc_LpLsYE0FnkuKnhEq8Ded7A_27_2"/>
      <w:bookmarkStart w:id="734" w:name="Tc_W3gE_Ah_E0ygckYwEPlSmQ_27_0"/>
      <w:bookmarkStart w:id="735" w:name="Tc_Ase9rFLnR0m2dEvCeDEM5w_26_24"/>
      <w:bookmarkStart w:id="736" w:name="Tc_xXLjydNIjUyUJkQAL3Piag_26_18"/>
      <w:bookmarkStart w:id="737" w:name="Tc_Z_mhbEaUfEW3kFJa_BXhtg_26_15"/>
      <w:bookmarkStart w:id="738" w:name="Tc_pOI-jB5YHk-IlQ52TlhK1Q_26_12"/>
      <w:bookmarkStart w:id="739" w:name="Tc_vrHgnAUq102ZS4laxd_FwA_26_10"/>
      <w:bookmarkStart w:id="740" w:name="Tc_t5xCLJR2Jkm0mM-4mjkphg_26_7"/>
      <w:bookmarkStart w:id="741" w:name="Tc_gk1_2SKCvUaXtzq_vD6ksA_26_5"/>
      <w:bookmarkStart w:id="742" w:name="Tc_XwMGQvPn9E-NKkqCh14FAQ_26_2"/>
      <w:bookmarkStart w:id="743" w:name="Tc_opi_mGMrKECyxH-X_xW3Fg_26_0"/>
      <w:bookmarkStart w:id="744" w:name="Tc_Wz5syx4yz0CLObDkEkgB_w_25_24"/>
      <w:bookmarkStart w:id="745" w:name="Tc_h4Rxgv2t50aPmKSjJtl9Mw_25_18"/>
      <w:bookmarkStart w:id="746" w:name="Tc_mvOJO7nwwESbEW2P3upX0w_25_15"/>
      <w:bookmarkStart w:id="747" w:name="Tc_Hy8INFTH3UKf647XUQME-g_25_12"/>
      <w:bookmarkStart w:id="748" w:name="Tc_2ZrRelAO9ES_sHHuPUdH9A_25_10"/>
      <w:bookmarkStart w:id="749" w:name="Tc_4O3R3XIrkUeaInaIKzKFbQ_25_7"/>
      <w:bookmarkStart w:id="750" w:name="Tc_tmxkoVc__UigI4A3_Zqg9Q_25_5"/>
      <w:bookmarkStart w:id="751" w:name="Tc_JvPsTA6qqUmDXwEKNg-_QA_25_2"/>
      <w:bookmarkStart w:id="752" w:name="Tc_MfB0DBwYB0eeR5W2WlBYCw_25_0"/>
      <w:bookmarkStart w:id="753" w:name="Tc_jW0J57sjJ0SbrYf1_5kINg_24_27"/>
      <w:bookmarkStart w:id="754" w:name="Tc_j2BLZyV-qUSDMAx1DSqPjA_24_24"/>
      <w:bookmarkStart w:id="755" w:name="Tc_RWriVkL-KkCa0qJD02Pyog_24_21"/>
      <w:bookmarkStart w:id="756" w:name="Tc_sNe-KYFFg0KmhykdZWWAJA_24_15"/>
      <w:bookmarkStart w:id="757" w:name="Tc_MRTK9A4jiEab4fWMAOTNAQ_24_5"/>
      <w:bookmarkStart w:id="758" w:name="Tc_whIhYaudR0aSs5v967HWXw_24_2"/>
      <w:bookmarkStart w:id="759" w:name="Tc_xe_dloezVUKVWdnyGJb_wA_24_0"/>
      <w:bookmarkStart w:id="760" w:name="Tc_yvkrJB553Eif1c-9k7eqwA_23_24"/>
      <w:bookmarkStart w:id="761" w:name="Tc_bYWDDOn-LE6U9lDY8lipNQ_23_21"/>
      <w:bookmarkStart w:id="762" w:name="Tc_xoRAMtyquUWM33hk6o_Cjw_23_10"/>
      <w:bookmarkStart w:id="763" w:name="Tc_Zj7ceUYYF0WKA5DE-on07Q_23_7"/>
      <w:bookmarkStart w:id="764" w:name="Tc_H_VDJbQX2UCjiPZCZeg6Cw_23_5"/>
      <w:bookmarkStart w:id="765" w:name="Tc_-gwvk7SZfk2tvOuR5ZakEg_23_2"/>
      <w:bookmarkStart w:id="766" w:name="Tc_U_5epNA_SUirHiXFmYIBew_23_0"/>
      <w:bookmarkStart w:id="767" w:name="Tc_6upZF9ARp0uXkhxboVMMPg_22_24"/>
      <w:bookmarkStart w:id="768" w:name="Tc_LEVpMqzZ9U2o4XYW4gXqjg_22_21"/>
      <w:bookmarkStart w:id="769" w:name="Tc_zMYa6e-PlkS0H4PzUiIThw_22_15"/>
      <w:bookmarkStart w:id="770" w:name="Tc_4Ya70e362U-wXJBEH3Kjuw_22_10"/>
      <w:bookmarkStart w:id="771" w:name="Tc_ewSPtyJ9jUifizQKCIKEew_22_7"/>
      <w:bookmarkStart w:id="772" w:name="Tc_VbgmbOpk10mHZ5UeyMRpIw_22_5"/>
      <w:bookmarkStart w:id="773" w:name="Tc_rh32WRpqUUC7mBC_446g6Q_22_2"/>
      <w:bookmarkStart w:id="774" w:name="Tc_OHiu4Lxm2ESpG5EIaMqLSA_22_0"/>
      <w:bookmarkStart w:id="775" w:name="Tc__KQIDGDzu0S0ppr-gtZOJg_21_24"/>
      <w:bookmarkStart w:id="776" w:name="Tc_itA3VlsFekKW6HPl49TUYQ_21_21"/>
      <w:bookmarkStart w:id="777" w:name="Tc_75qN2e7WokysRQ4qGMOmGQ_21_15"/>
      <w:bookmarkStart w:id="778" w:name="Tc_P215Y5a24Uqc6eHwdMUR4g_21_10"/>
      <w:bookmarkStart w:id="779" w:name="Tc_YFARKQJl1E-OSi9ET2ZrAg_21_7"/>
      <w:bookmarkStart w:id="780" w:name="Tc_h4Qmph2eZUWNhZFXbmpKrw_21_5"/>
      <w:bookmarkStart w:id="781" w:name="Tc_PH5b0HnEX0yfDLW-WF76ag_21_2"/>
      <w:bookmarkStart w:id="782" w:name="Tc_nXhm_xlbrECkKLoKxU-hbw_21_0"/>
      <w:bookmarkStart w:id="783" w:name="Tc_f6MlUEDJnUKM1T9tl3i-2g_20_27"/>
      <w:bookmarkStart w:id="784" w:name="Tc_urts-5wxnkGkKaqlzWyZhg_20_24"/>
      <w:bookmarkStart w:id="785" w:name="Tc_RnbsjjOonky6l_cINWJtIg_20_21"/>
      <w:bookmarkStart w:id="786" w:name="Tc_G8IGrwYraEC7ulqA-c0QJg_20_18"/>
      <w:bookmarkStart w:id="787" w:name="Tc_WbErfHtEqkGBqCa9bQ4EcA_20_15"/>
      <w:bookmarkStart w:id="788" w:name="Tc_McWJ_G8LhUWh8IKYBaCJtA_20_10"/>
      <w:bookmarkStart w:id="789" w:name="Tc_P4CZyk6MgESv7vqjPtPxfg_20_7"/>
      <w:bookmarkStart w:id="790" w:name="Tc_AiI2NqWKjk659JyPRKNYOA_20_5"/>
      <w:bookmarkStart w:id="791" w:name="Tc_klsEpnm26k2C5vB6RxQC9Q_20_2"/>
      <w:bookmarkStart w:id="792" w:name="Tc_rK12Hz7PY0iKBva3H78icg_20_0"/>
      <w:bookmarkStart w:id="793" w:name="Tc_4C2KNssH706vAqtz8J8_mg_19_24"/>
      <w:bookmarkStart w:id="794" w:name="Tc_6o8Ju68ihEO8OvZ1zduYXA_19_21"/>
      <w:bookmarkStart w:id="795" w:name="Tc_Fe_AaafLX0OGTxKkiUeylA_19_15"/>
      <w:bookmarkStart w:id="796" w:name="Tc_IX86qwkd3U-sY-5cRMFcWw_19_10"/>
      <w:bookmarkStart w:id="797" w:name="Tc_lYtOXIO_MUm3emt9hUUYEg_19_7"/>
      <w:bookmarkStart w:id="798" w:name="Tc_nT0KTyHSP0ube9ejWMBsXw_19_5"/>
      <w:bookmarkStart w:id="799" w:name="Tc_IfCkqQEPOUmdmQnqAd6keA_19_2"/>
      <w:bookmarkStart w:id="800" w:name="Tc_9HRUkVw2v0yVcacdh991-A_19_0"/>
      <w:bookmarkStart w:id="801" w:name="Tc_xFv9zI42BUKYsJqBmEQOWQ_18_24"/>
      <w:bookmarkStart w:id="802" w:name="Tc_f4MQnYK2eEq_wFeAxIzESg_18_21"/>
      <w:bookmarkStart w:id="803" w:name="Tc_Z2sQdzsh-Uu7RNTDLrIztw_18_15"/>
      <w:bookmarkStart w:id="804" w:name="Tc_S_GJiTJklU-pt84heeS-xw_18_12"/>
      <w:bookmarkStart w:id="805" w:name="Tc_HHuwquITKUqJKFYUaTxNsg_18_10"/>
      <w:bookmarkStart w:id="806" w:name="Tc_lfwWTA1fd0iB4kY-xDSTDQ_18_7"/>
      <w:bookmarkStart w:id="807" w:name="Tc_t8pe8NwGCkmnY8ChuA2sSA_18_5"/>
      <w:bookmarkStart w:id="808" w:name="Tc__Vvrjc4U90q_cnE7hlPKpg_18_2"/>
      <w:bookmarkStart w:id="809" w:name="Tc_2UNx4IBJ8kuK77Wu0WbgeQ_18_0"/>
      <w:bookmarkStart w:id="810" w:name="Tc_ozP1w-tlE02_a0SMccE9zg_17_26"/>
      <w:bookmarkStart w:id="811" w:name="Tc_XQg7WLqcDUe3E0kBxbAWyg_17_23"/>
      <w:bookmarkStart w:id="812" w:name="Tc_V5WltDeBZECdRbrNZq2iuA_17_20"/>
      <w:bookmarkStart w:id="813" w:name="Tc_dPxItb0l3Eiole7vwaQ8YA_17_17"/>
      <w:bookmarkStart w:id="814" w:name="Tc_CeISpWmJGECPnodGCXT_dw_17_14"/>
      <w:bookmarkStart w:id="815" w:name="Tc_yyKjnXaEkESM_aT2guXrKw_17_9"/>
      <w:bookmarkStart w:id="816" w:name="Tc_c6OkQlcq6EW2gXcYfKWY5w_17_5"/>
      <w:bookmarkStart w:id="817" w:name="Tc_KfLc8bVZVU-4dJtXJ9iZSg_17_4"/>
      <w:bookmarkStart w:id="818" w:name="Tc_2_IzsesfekCPrEE2o5HLfQ_17_0"/>
      <w:bookmarkStart w:id="819" w:name="Tc_CAvx837HQkuQiD2KeDkERQ_15_26"/>
      <w:bookmarkStart w:id="820" w:name="Tc_zQN9Kym4VUea4kSXl4pI4A_15_23"/>
      <w:bookmarkStart w:id="821" w:name="Tc_m8awC-y0GkCm1weWH6JI_w_15_20"/>
      <w:bookmarkStart w:id="822" w:name="Tc_74q-yNWzSU2CcNh7vksF4A_15_17"/>
      <w:bookmarkStart w:id="823" w:name="Tc_Ay48bt3AV0uQWo5lFCwRMg_15_14"/>
      <w:bookmarkStart w:id="824" w:name="Tc_c0012rHMKkieiDo3F8sKMw_15_9"/>
      <w:bookmarkStart w:id="825" w:name="Tc_prKFdXn0ok66j3xugOOmiw_15_5"/>
      <w:bookmarkStart w:id="826" w:name="Tc_KBJnngHeM0aiH2iEi1k38g_15_4"/>
      <w:bookmarkStart w:id="827" w:name="Tc_BfgUZGiRGkqYgBEh3Pt8iA_15_0"/>
      <w:bookmarkStart w:id="828" w:name="Tc_hPEkohBm_EC_mb6n9mr7BA_14_21"/>
      <w:bookmarkStart w:id="829" w:name="Tc_8NvU_W_Fw0OT4Y6PIduoiQ_14_18"/>
      <w:bookmarkStart w:id="830" w:name="Tc_k7kMgzCOrEasabUs-XcJHA_14_15"/>
      <w:bookmarkStart w:id="831" w:name="Tc_5E0q08co9EC9jwV27iaCbw_14_12"/>
      <w:bookmarkStart w:id="832" w:name="Tc_xlcbNF-b50i15dutjBRV4A_14_10"/>
      <w:bookmarkStart w:id="833" w:name="Tc_OnA5hO5VgESqaWBJekuZtQ_14_7"/>
      <w:bookmarkStart w:id="834" w:name="Tc_EvHqFI6Gy0OaPK1dZeQWQA_14_5"/>
      <w:bookmarkStart w:id="835" w:name="Tc_VSixZYvFNkaWNuHwE2MrzQ_14_2"/>
      <w:bookmarkStart w:id="836" w:name="Tc_kl5J5CmIo0-8ohge1BKURA_14_0"/>
      <w:bookmarkStart w:id="837" w:name="Tc_lfYZuzWD_E-bn3t9h0Hc2g_13_24"/>
      <w:bookmarkStart w:id="838" w:name="Tc_HMuWdTjWokKdfXiz5cNxnw_13_18"/>
      <w:bookmarkStart w:id="839" w:name="Tc_5TCxwygTnEmbh6TxmhOABw_13_15"/>
      <w:bookmarkStart w:id="840" w:name="Tc_t92Z_NgHYUuuW6eunGdJmQ_13_12"/>
      <w:bookmarkStart w:id="841" w:name="Tc_fKmhqAl2LkGiMBzOFAB6MQ_13_10"/>
      <w:bookmarkStart w:id="842" w:name="Tc_VwMF16hpNUiskzpv34j_nQ_13_7"/>
      <w:bookmarkStart w:id="843" w:name="Tc_foV324tga0W_bUNlLAtlCw_13_5"/>
      <w:bookmarkStart w:id="844" w:name="Tc_cnNa6OU1HEy2WVYhOJZDnw_13_2"/>
      <w:bookmarkStart w:id="845" w:name="Tc_ph7MyWIcwkOSTGd1TkaABQ_13_0"/>
      <w:bookmarkStart w:id="846" w:name="Tc_Wn1TnLcD4E6QKerREYWv-g_12_24"/>
      <w:bookmarkStart w:id="847" w:name="Tc_hcs6t_w2L0-h80e5epHIag_12_18"/>
      <w:bookmarkStart w:id="848" w:name="Tc_5CoK030TdkqNNCwjTxxhHA_12_15"/>
      <w:bookmarkStart w:id="849" w:name="Tc_U_yyjjjbhEeMAVWCTO4ddg_12_12"/>
      <w:bookmarkStart w:id="850" w:name="Tc_aXugb1IEd0SCXjQHgFukEg_12_10"/>
      <w:bookmarkStart w:id="851" w:name="Tc_gc543nmSY0C_H54DLoVCfQ_12_7"/>
      <w:bookmarkStart w:id="852" w:name="Tc_99A2noISTEiYIjluzvWqXQ_12_5"/>
      <w:bookmarkStart w:id="853" w:name="Tc_MKQdeuIl8UmThxppb1qB7w_12_2"/>
      <w:bookmarkStart w:id="854" w:name="Tc_VKvyia9h30aP2_twF8AVoQ_12_0"/>
      <w:bookmarkStart w:id="855" w:name="Tc_GK9woeWnhE-CkxzdEF5ORA_11_24"/>
      <w:bookmarkStart w:id="856" w:name="Tc_Y2hMF7-RhUmuVpVfEob0wQ_11_21"/>
      <w:bookmarkStart w:id="857" w:name="Tc_UjSJfOhU_EiSjXE0hIf_HA_11_10"/>
      <w:bookmarkStart w:id="858" w:name="Tc_QFRSgE2260GfLqLUeAi5yw_11_7"/>
      <w:bookmarkStart w:id="859" w:name="Tc_uCwlm03td0yXuSJULbHUQg_11_5"/>
      <w:bookmarkStart w:id="860" w:name="Tc_JWT7kuHUAUWwx_L_507pdw_11_2"/>
      <w:bookmarkStart w:id="861" w:name="Tc_TGYbBRIU-UqGhr6lj8pQ-A_11_0"/>
      <w:bookmarkStart w:id="862" w:name="Tc_TtJjVvig90mnq6Jt1WkLFA_10_24"/>
      <w:bookmarkStart w:id="863" w:name="Tc_n_GHby1CE0yTg4nliI6HWg_10_21"/>
      <w:bookmarkStart w:id="864" w:name="Tc_vJMQgphPvUqb4KeXNxNj2A_10_15"/>
      <w:bookmarkStart w:id="865" w:name="Tc_LGJmIWkel0OIrP3nEAGi7w_10_10"/>
      <w:bookmarkStart w:id="866" w:name="Tc_jDPIaudNgk60dhhgwffQiQ_10_7"/>
      <w:bookmarkStart w:id="867" w:name="Tc_IxOyqJ42_Um4s8TTaPEJYQ_10_5"/>
      <w:bookmarkStart w:id="868" w:name="Tc_fHrg20bUOUO085dhBoikAg_10_2"/>
      <w:bookmarkStart w:id="869" w:name="Tc_siL3yf6PiUWN3LarYf-GiQ_10_0"/>
      <w:bookmarkStart w:id="870" w:name="Tc_yjeNS4rbV0Oyo3jwab0G0g_9_24"/>
      <w:bookmarkStart w:id="871" w:name="Tc_Si50Po5utEew6SIMu4nL5w_9_21"/>
      <w:bookmarkStart w:id="872" w:name="Tc_IGTV9D-3XU2ZFjZ34YEHmw_9_15"/>
      <w:bookmarkStart w:id="873" w:name="Tc_sYRx2z12XUitAuA71ZkTzA_9_10"/>
      <w:bookmarkStart w:id="874" w:name="Tc_c8W0hANg1kqtiLnbT86_VA_9_7"/>
      <w:bookmarkStart w:id="875" w:name="Tc_3v9YspLgpk2Iy9-ClNwfgg_9_5"/>
      <w:bookmarkStart w:id="876" w:name="Tc_O7at7wuJQE6llO2QyL1luQ_9_2"/>
      <w:bookmarkStart w:id="877" w:name="Tc_SQjmYpS9n0-dSg0-uNngLg_9_0"/>
      <w:bookmarkStart w:id="878" w:name="Tc_AzHCoS95cEe_8VMeKvm6Zg_8_27"/>
      <w:bookmarkStart w:id="879" w:name="Tc_yQyeEL26C0uNQsynCh9aGw_8_24"/>
      <w:bookmarkStart w:id="880" w:name="Tc_gUFNh_qItkusztHEQTizag_8_21"/>
      <w:bookmarkStart w:id="881" w:name="Tc_P4le4VrJQkeZeZQ1ZKOnmg_8_18"/>
      <w:bookmarkStart w:id="882" w:name="Tc_QZXc6u2Hk0u74S9h5FaGlg_8_15"/>
      <w:bookmarkStart w:id="883" w:name="Tc_ScclwK34J0qo197__QsCLw_8_10"/>
      <w:bookmarkStart w:id="884" w:name="Tc_ankyoMRQN0OLZrADp1EEVQ_8_7"/>
      <w:bookmarkStart w:id="885" w:name="Tc_WvX5je159U-PHFdFtHnDwQ_8_5"/>
      <w:bookmarkStart w:id="886" w:name="Tc_6SbvDGaGCE6svbe4FRKOnQ_8_2"/>
      <w:bookmarkStart w:id="887" w:name="Tc_elNIVkKwYEqIm8rFI5aTlw_8_0"/>
      <w:bookmarkStart w:id="888" w:name="Tc_lkoOs5NT20epgZ8ftg34Vw_7_24"/>
      <w:bookmarkStart w:id="889" w:name="Tc_bhJebEcRxkeeyYGXkHQEOg_7_21"/>
      <w:bookmarkStart w:id="890" w:name="Tc_nqEGP1rkeku79ESb0uI2mQ_7_15"/>
      <w:bookmarkStart w:id="891" w:name="Tc_7vwBf6sGh0qjd9cfiQSHfA_7_10"/>
      <w:bookmarkStart w:id="892" w:name="Tc_bKYCQsUBikiR6U6cba2G0g_7_7"/>
      <w:bookmarkStart w:id="893" w:name="Tc_hr4H8hEHEUyw9Bgbdz-ZgQ_7_5"/>
      <w:bookmarkStart w:id="894" w:name="Tc_1G8V4Gp3fEW_2hbEYozplw_7_2"/>
      <w:bookmarkStart w:id="895" w:name="Tc_3XiTkZ37cUCtlRrUEhAVQQ_7_0"/>
      <w:bookmarkStart w:id="896" w:name="Tc_lUwmf88OjE-WDY04It9DsA_6_24"/>
      <w:bookmarkStart w:id="897" w:name="Tc_ghGky_njoUaxA8V3mOf5WQ_6_21"/>
      <w:bookmarkStart w:id="898" w:name="Tc_vMYdeY33gEKcf_WmO7PGNA_6_15"/>
      <w:bookmarkStart w:id="899" w:name="Tc_t5OU6xUSZE6IWFHE5frrow_6_12"/>
      <w:bookmarkStart w:id="900" w:name="Tc_L_vE4Sl2EkecpHABsPjf4w_6_10"/>
      <w:bookmarkStart w:id="901" w:name="Tc_5oxojXlLw06ScmRCl2ihpQ_6_7"/>
      <w:bookmarkStart w:id="902" w:name="Tc_XbMShqkXo0uVIsZrEForKA_6_5"/>
      <w:bookmarkStart w:id="903" w:name="Tc_F6s7d2gSP0aunvV910-jvg_6_2"/>
      <w:bookmarkStart w:id="904" w:name="Tc_H-P7GF1sxEWxebuL7OMCsA_6_0"/>
      <w:bookmarkStart w:id="905" w:name="Tc_j4_OQflc8kKRK3FOcQOV1g_5_26"/>
      <w:bookmarkStart w:id="906" w:name="Tc_F4hafV10O0aJ3BPwjOqgTw_5_23"/>
      <w:bookmarkStart w:id="907" w:name="Tc_3qmMOBrjwkKZFPcrimC4eA_5_20"/>
      <w:bookmarkStart w:id="908" w:name="Tc_R6Zh0OVjNEuHz5HJdD1Mmw_5_17"/>
      <w:bookmarkStart w:id="909" w:name="Tc_AGsR02qG20Ce1p-7H6fLAg_5_14"/>
      <w:bookmarkStart w:id="910" w:name="Tc_jal3Pm4IlUuUK06O_E88Ig_5_9"/>
      <w:bookmarkStart w:id="911" w:name="Tc_8_4Ie9URb0ug1t1qUftjjw_5_5"/>
      <w:bookmarkStart w:id="912" w:name="Tc_oAvxyea7T0-eu8m2Dith9A_5_4"/>
      <w:bookmarkStart w:id="913" w:name="Tc_ZkK3yfKtfEqW_6C_pdApWA_5_0"/>
      <w:bookmarkStart w:id="914" w:name="Tc_dzn5AdvmtEmi2j4yvo0Qcw_4_26"/>
      <w:bookmarkStart w:id="915" w:name="Tc_NU9Btylr90i7ucPUD9vN_w_4_23"/>
      <w:bookmarkStart w:id="916" w:name="Tc_yTDCNCp7uUSNjihikrpfCw_4_20"/>
      <w:bookmarkStart w:id="917" w:name="Tc_ixKkfi_4pk6AT1jOlkjCsA_4_17"/>
      <w:bookmarkStart w:id="918" w:name="Tc_sPYu0HuYY0m_couYzTnG0w_4_14"/>
      <w:bookmarkStart w:id="919" w:name="Tc_D9yUjMLYskOvgVLpXV1A1w_4_12"/>
      <w:bookmarkStart w:id="920" w:name="Tc_Jo6FAp7BsEO5NbxyyMKfCQ_4_9"/>
      <w:bookmarkStart w:id="921" w:name="Tc_fx_5hs1blU69Odvp2lzjBw_4_7"/>
      <w:bookmarkStart w:id="922" w:name="Tc_EX-q4gx_2E2yyqHJffQjhA_4_4"/>
      <w:bookmarkStart w:id="923" w:name="Tc_kwDVQv9Fk0C5wnPIiLHVpg_4_2"/>
      <w:bookmarkStart w:id="924" w:name="Tc_qjV3y48HEU2vQTtIUD3L-w_3_26"/>
      <w:bookmarkStart w:id="925" w:name="Tc_V8YPUJKlX0eLtugUVJ8QYw_3_23"/>
      <w:bookmarkStart w:id="926" w:name="Tc_QHLDfLn-S06PH-5uVLISKQ_3_20"/>
      <w:bookmarkStart w:id="927" w:name="Tc_Ca_6fpJwZU-zCeEFdCiPEw_3_17"/>
      <w:bookmarkStart w:id="928" w:name="Tc_DCmozNtWvkueyyRrM6n9Aw_3_12"/>
      <w:bookmarkStart w:id="929" w:name="Tc_OCV3q7zGiEOZlGH74f3Fwg_3_7"/>
      <w:bookmarkStart w:id="930" w:name="Tc_IUgXzhbydUqaaFu0iq4j1A_3_2"/>
      <w:bookmarkStart w:id="931" w:name="Tc_ZIZntsov0EK1CWieDb4EwA_2_26"/>
      <w:bookmarkStart w:id="932" w:name="Tc_vie_hccWmU2pKXQV2GLh9Q_2_20"/>
      <w:bookmarkStart w:id="933" w:name="Tc_ox486oxwLUKgo8DqI-ymZA_2_17"/>
      <w:bookmarkStart w:id="934" w:name="Tc_7JuSvi_9dkifCT2sfZFeaw_2_7"/>
      <w:bookmarkStart w:id="935" w:name="Tc_MR6b6E7cVEOyt-f8LjSf_g_2_2"/>
      <w:bookmarkStart w:id="936" w:name="Tc_dSa6rMPAZ0icOfDpQSZGhw_1_7"/>
      <w:bookmarkStart w:id="937" w:name="Tc_9Y6_Epmx9UW9A6cJ9Si1Rg_1_2"/>
      <w:bookmarkStart w:id="938" w:name="_fd65668a_dcf4_4a15_bd98_77d940dc8f13"/>
      <w:bookmarkStart w:id="939" w:name="Tc_K-IZK4I7Qk2TbnAEoFpyVQ_28_26"/>
      <w:bookmarkStart w:id="940" w:name="Tc_fpSj6kGfAk-JDyZ3SEO-Hg_28_23"/>
      <w:bookmarkStart w:id="941" w:name="Tc_uNWuatD9B0eZ71fyAl1ylQ_28_20"/>
      <w:bookmarkStart w:id="942" w:name="Tc_wH0cam9nB0e65oS_aOWjWg_28_17"/>
      <w:bookmarkStart w:id="943" w:name="Tc_pOSNswH1KEKWaSdEWuhpSg_28_14"/>
      <w:bookmarkStart w:id="944" w:name="Tc_St9a10suQEOoQWxrkoZUvw_28_9"/>
      <w:bookmarkStart w:id="945" w:name="Tc_VtQ1DllBCkq2uvgOOy7eCw_28_5"/>
      <w:bookmarkStart w:id="946" w:name="Tc_LXgIPiSjk0KLTE6JIUYnzQ_28_4"/>
      <w:bookmarkStart w:id="947" w:name="Tc_M8JKba3P5EiKffvPq-LTuw_28_0"/>
      <w:bookmarkStart w:id="948" w:name="Tc_eg1Q-5sIlk-22L52Su5YXA_27_21"/>
      <w:bookmarkStart w:id="949" w:name="Tc_JJQTJYeJqUarCtfEgXv9_w_27_18"/>
      <w:bookmarkStart w:id="950" w:name="Tc_v9eEJuCH90G7EvASD_upRQ_27_15"/>
      <w:bookmarkStart w:id="951" w:name="Tc_MOJ_trJtzEGKK9X31FBJFQ_27_12"/>
      <w:bookmarkStart w:id="952" w:name="Tc_VyuecpJDckS2rx3TbU5WkA_27_10"/>
      <w:bookmarkStart w:id="953" w:name="Tc_6-cMR5yiGEKPb_B09ZS6VA_27_7"/>
      <w:bookmarkStart w:id="954" w:name="Tc_J0Tn6iDlk0uKfRdoOOCMRg_27_5"/>
      <w:bookmarkStart w:id="955" w:name="Tc_LpLsYE0FnkuKnhEq8Ded7A_27_2"/>
      <w:bookmarkStart w:id="956" w:name="Tc_W3gE_Ah_E0ygckYwEPlSmQ_27_0"/>
      <w:bookmarkStart w:id="957" w:name="Tc_Ase9rFLnR0m2dEvCeDEM5w_26_24"/>
      <w:bookmarkStart w:id="958" w:name="Tc_xXLjydNIjUyUJkQAL3Piag_26_18"/>
      <w:bookmarkStart w:id="959" w:name="Tc_Z_mhbEaUfEW3kFJa_BXhtg_26_15"/>
      <w:bookmarkStart w:id="960" w:name="Tc_pOI-jB5YHk-IlQ52TlhK1Q_26_12"/>
      <w:bookmarkStart w:id="961" w:name="Tc_vrHgnAUq102ZS4laxd_FwA_26_10"/>
      <w:bookmarkStart w:id="962" w:name="Tc_t5xCLJR2Jkm0mM-4mjkphg_26_7"/>
      <w:bookmarkStart w:id="963" w:name="Tc_gk1_2SKCvUaXtzq_vD6ksA_26_5"/>
      <w:bookmarkStart w:id="964" w:name="Tc_XwMGQvPn9E-NKkqCh14FAQ_26_2"/>
      <w:bookmarkStart w:id="965" w:name="Tc_opi_mGMrKECyxH-X_xW3Fg_26_0"/>
      <w:bookmarkStart w:id="966" w:name="Tc_Wz5syx4yz0CLObDkEkgB_w_25_24"/>
      <w:bookmarkStart w:id="967" w:name="Tc_h4Rxgv2t50aPmKSjJtl9Mw_25_18"/>
      <w:bookmarkStart w:id="968" w:name="Tc_mvOJO7nwwESbEW2P3upX0w_25_15"/>
      <w:bookmarkStart w:id="969" w:name="Tc_Hy8INFTH3UKf647XUQME-g_25_12"/>
      <w:bookmarkStart w:id="970" w:name="Tc_2ZrRelAO9ES_sHHuPUdH9A_25_10"/>
      <w:bookmarkStart w:id="971" w:name="Tc_4O3R3XIrkUeaInaIKzKFbQ_25_7"/>
      <w:bookmarkStart w:id="972" w:name="Tc_tmxkoVc__UigI4A3_Zqg9Q_25_5"/>
      <w:bookmarkStart w:id="973" w:name="Tc_JvPsTA6qqUmDXwEKNg-_QA_25_2"/>
      <w:bookmarkStart w:id="974" w:name="Tc_MfB0DBwYB0eeR5W2WlBYCw_25_0"/>
      <w:bookmarkStart w:id="975" w:name="Tc_jW0J57sjJ0SbrYf1_5kINg_24_27"/>
      <w:bookmarkStart w:id="976" w:name="Tc_j2BLZyV-qUSDMAx1DSqPjA_24_24"/>
      <w:bookmarkStart w:id="977" w:name="Tc_RWriVkL-KkCa0qJD02Pyog_24_21"/>
      <w:bookmarkStart w:id="978" w:name="Tc_sNe-KYFFg0KmhykdZWWAJA_24_15"/>
      <w:bookmarkStart w:id="979" w:name="Tc_MRTK9A4jiEab4fWMAOTNAQ_24_5"/>
      <w:bookmarkStart w:id="980" w:name="Tc_whIhYaudR0aSs5v967HWXw_24_2"/>
      <w:bookmarkStart w:id="981" w:name="Tc_xe_dloezVUKVWdnyGJb_wA_24_0"/>
      <w:bookmarkStart w:id="982" w:name="Tc_yvkrJB553Eif1c-9k7eqwA_23_24"/>
      <w:bookmarkStart w:id="983" w:name="Tc_bYWDDOn-LE6U9lDY8lipNQ_23_21"/>
      <w:bookmarkStart w:id="984" w:name="Tc_xoRAMtyquUWM33hk6o_Cjw_23_10"/>
      <w:bookmarkStart w:id="985" w:name="Tc_Zj7ceUYYF0WKA5DE-on07Q_23_7"/>
      <w:bookmarkStart w:id="986" w:name="Tc_H_VDJbQX2UCjiPZCZeg6Cw_23_5"/>
      <w:bookmarkStart w:id="987" w:name="Tc_-gwvk7SZfk2tvOuR5ZakEg_23_2"/>
      <w:bookmarkStart w:id="988" w:name="Tc_U_5epNA_SUirHiXFmYIBew_23_0"/>
      <w:bookmarkStart w:id="989" w:name="Tc_6upZF9ARp0uXkhxboVMMPg_22_24"/>
      <w:bookmarkStart w:id="990" w:name="Tc_LEVpMqzZ9U2o4XYW4gXqjg_22_21"/>
      <w:bookmarkStart w:id="991" w:name="Tc_zMYa6e-PlkS0H4PzUiIThw_22_15"/>
      <w:bookmarkStart w:id="992" w:name="Tc_4Ya70e362U-wXJBEH3Kjuw_22_10"/>
      <w:bookmarkStart w:id="993" w:name="Tc_ewSPtyJ9jUifizQKCIKEew_22_7"/>
      <w:bookmarkStart w:id="994" w:name="Tc_VbgmbOpk10mHZ5UeyMRpIw_22_5"/>
      <w:bookmarkStart w:id="995" w:name="Tc_rh32WRpqUUC7mBC_446g6Q_22_2"/>
      <w:bookmarkStart w:id="996" w:name="Tc_OHiu4Lxm2ESpG5EIaMqLSA_22_0"/>
      <w:bookmarkStart w:id="997" w:name="Tc__KQIDGDzu0S0ppr-gtZOJg_21_24"/>
      <w:bookmarkStart w:id="998" w:name="Tc_itA3VlsFekKW6HPl49TUYQ_21_21"/>
      <w:bookmarkStart w:id="999" w:name="Tc_75qN2e7WokysRQ4qGMOmGQ_21_15"/>
      <w:bookmarkStart w:id="1000" w:name="Tc_P215Y5a24Uqc6eHwdMUR4g_21_10"/>
      <w:bookmarkStart w:id="1001" w:name="Tc_YFARKQJl1E-OSi9ET2ZrAg_21_7"/>
      <w:bookmarkStart w:id="1002" w:name="Tc_h4Qmph2eZUWNhZFXbmpKrw_21_5"/>
      <w:bookmarkStart w:id="1003" w:name="Tc_PH5b0HnEX0yfDLW-WF76ag_21_2"/>
      <w:bookmarkStart w:id="1004" w:name="Tc_nXhm_xlbrECkKLoKxU-hbw_21_0"/>
      <w:bookmarkStart w:id="1005" w:name="Tc_f6MlUEDJnUKM1T9tl3i-2g_20_27"/>
      <w:bookmarkStart w:id="1006" w:name="Tc_urts-5wxnkGkKaqlzWyZhg_20_24"/>
      <w:bookmarkStart w:id="1007" w:name="Tc_RnbsjjOonky6l_cINWJtIg_20_21"/>
      <w:bookmarkStart w:id="1008" w:name="Tc_G8IGrwYraEC7ulqA-c0QJg_20_18"/>
      <w:bookmarkStart w:id="1009" w:name="Tc_WbErfHtEqkGBqCa9bQ4EcA_20_15"/>
      <w:bookmarkStart w:id="1010" w:name="Tc_McWJ_G8LhUWh8IKYBaCJtA_20_10"/>
      <w:bookmarkStart w:id="1011" w:name="Tc_P4CZyk6MgESv7vqjPtPxfg_20_7"/>
      <w:bookmarkStart w:id="1012" w:name="Tc_AiI2NqWKjk659JyPRKNYOA_20_5"/>
      <w:bookmarkStart w:id="1013" w:name="Tc_klsEpnm26k2C5vB6RxQC9Q_20_2"/>
      <w:bookmarkStart w:id="1014" w:name="Tc_rK12Hz7PY0iKBva3H78icg_20_0"/>
      <w:bookmarkStart w:id="1015" w:name="Tc_4C2KNssH706vAqtz8J8_mg_19_24"/>
      <w:bookmarkStart w:id="1016" w:name="Tc_6o8Ju68ihEO8OvZ1zduYXA_19_21"/>
      <w:bookmarkStart w:id="1017" w:name="Tc_Fe_AaafLX0OGTxKkiUeylA_19_15"/>
      <w:bookmarkStart w:id="1018" w:name="Tc_IX86qwkd3U-sY-5cRMFcWw_19_10"/>
      <w:bookmarkStart w:id="1019" w:name="Tc_lYtOXIO_MUm3emt9hUUYEg_19_7"/>
      <w:bookmarkStart w:id="1020" w:name="Tc_nT0KTyHSP0ube9ejWMBsXw_19_5"/>
      <w:bookmarkStart w:id="1021" w:name="Tc_IfCkqQEPOUmdmQnqAd6keA_19_2"/>
      <w:bookmarkStart w:id="1022" w:name="Tc_9HRUkVw2v0yVcacdh991-A_19_0"/>
      <w:bookmarkStart w:id="1023" w:name="Tc_xFv9zI42BUKYsJqBmEQOWQ_18_24"/>
      <w:bookmarkStart w:id="1024" w:name="Tc_f4MQnYK2eEq_wFeAxIzESg_18_21"/>
      <w:bookmarkStart w:id="1025" w:name="Tc_Z2sQdzsh-Uu7RNTDLrIztw_18_15"/>
      <w:bookmarkStart w:id="1026" w:name="Tc_S_GJiTJklU-pt84heeS-xw_18_12"/>
      <w:bookmarkStart w:id="1027" w:name="Tc_HHuwquITKUqJKFYUaTxNsg_18_10"/>
      <w:bookmarkStart w:id="1028" w:name="Tc_lfwWTA1fd0iB4kY-xDSTDQ_18_7"/>
      <w:bookmarkStart w:id="1029" w:name="Tc_t8pe8NwGCkmnY8ChuA2sSA_18_5"/>
      <w:bookmarkStart w:id="1030" w:name="Tc__Vvrjc4U90q_cnE7hlPKpg_18_2"/>
      <w:bookmarkStart w:id="1031" w:name="Tc_2UNx4IBJ8kuK77Wu0WbgeQ_18_0"/>
      <w:bookmarkStart w:id="1032" w:name="Tc_ozP1w-tlE02_a0SMccE9zg_17_26"/>
      <w:bookmarkStart w:id="1033" w:name="Tc_XQg7WLqcDUe3E0kBxbAWyg_17_23"/>
      <w:bookmarkStart w:id="1034" w:name="Tc_V5WltDeBZECdRbrNZq2iuA_17_20"/>
      <w:bookmarkStart w:id="1035" w:name="Tc_dPxItb0l3Eiole7vwaQ8YA_17_17"/>
      <w:bookmarkStart w:id="1036" w:name="Tc_CeISpWmJGECPnodGCXT_dw_17_14"/>
      <w:bookmarkStart w:id="1037" w:name="Tc_yyKjnXaEkESM_aT2guXrKw_17_9"/>
      <w:bookmarkStart w:id="1038" w:name="Tc_c6OkQlcq6EW2gXcYfKWY5w_17_5"/>
      <w:bookmarkStart w:id="1039" w:name="Tc_KfLc8bVZVU-4dJtXJ9iZSg_17_4"/>
      <w:bookmarkStart w:id="1040" w:name="Tc_2_IzsesfekCPrEE2o5HLfQ_17_0"/>
      <w:bookmarkStart w:id="1041" w:name="Tc_CAvx837HQkuQiD2KeDkERQ_15_26"/>
      <w:bookmarkStart w:id="1042" w:name="Tc_zQN9Kym4VUea4kSXl4pI4A_15_23"/>
      <w:bookmarkStart w:id="1043" w:name="Tc_m8awC-y0GkCm1weWH6JI_w_15_20"/>
      <w:bookmarkStart w:id="1044" w:name="Tc_74q-yNWzSU2CcNh7vksF4A_15_17"/>
      <w:bookmarkStart w:id="1045" w:name="Tc_Ay48bt3AV0uQWo5lFCwRMg_15_14"/>
      <w:bookmarkStart w:id="1046" w:name="Tc_c0012rHMKkieiDo3F8sKMw_15_9"/>
      <w:bookmarkStart w:id="1047" w:name="Tc_prKFdXn0ok66j3xugOOmiw_15_5"/>
      <w:bookmarkStart w:id="1048" w:name="Tc_KBJnngHeM0aiH2iEi1k38g_15_4"/>
      <w:bookmarkStart w:id="1049" w:name="Tc_BfgUZGiRGkqYgBEh3Pt8iA_15_0"/>
      <w:bookmarkStart w:id="1050" w:name="Tc_hPEkohBm_EC_mb6n9mr7BA_14_21"/>
      <w:bookmarkStart w:id="1051" w:name="Tc_8NvU_W_Fw0OT4Y6PIduoiQ_14_18"/>
      <w:bookmarkStart w:id="1052" w:name="Tc_k7kMgzCOrEasabUs-XcJHA_14_15"/>
      <w:bookmarkStart w:id="1053" w:name="Tc_5E0q08co9EC9jwV27iaCbw_14_12"/>
      <w:bookmarkStart w:id="1054" w:name="Tc_xlcbNF-b50i15dutjBRV4A_14_10"/>
      <w:bookmarkStart w:id="1055" w:name="Tc_OnA5hO5VgESqaWBJekuZtQ_14_7"/>
      <w:bookmarkStart w:id="1056" w:name="Tc_EvHqFI6Gy0OaPK1dZeQWQA_14_5"/>
      <w:bookmarkStart w:id="1057" w:name="Tc_VSixZYvFNkaWNuHwE2MrzQ_14_2"/>
      <w:bookmarkStart w:id="1058" w:name="Tc_kl5J5CmIo0-8ohge1BKURA_14_0"/>
      <w:bookmarkStart w:id="1059" w:name="Tc_lfYZuzWD_E-bn3t9h0Hc2g_13_24"/>
      <w:bookmarkStart w:id="1060" w:name="Tc_HMuWdTjWokKdfXiz5cNxnw_13_18"/>
      <w:bookmarkStart w:id="1061" w:name="Tc_5TCxwygTnEmbh6TxmhOABw_13_15"/>
      <w:bookmarkStart w:id="1062" w:name="Tc_t92Z_NgHYUuuW6eunGdJmQ_13_12"/>
      <w:bookmarkStart w:id="1063" w:name="Tc_fKmhqAl2LkGiMBzOFAB6MQ_13_10"/>
      <w:bookmarkStart w:id="1064" w:name="Tc_VwMF16hpNUiskzpv34j_nQ_13_7"/>
      <w:bookmarkStart w:id="1065" w:name="Tc_foV324tga0W_bUNlLAtlCw_13_5"/>
      <w:bookmarkStart w:id="1066" w:name="Tc_cnNa6OU1HEy2WVYhOJZDnw_13_2"/>
      <w:bookmarkStart w:id="1067" w:name="Tc_ph7MyWIcwkOSTGd1TkaABQ_13_0"/>
      <w:bookmarkStart w:id="1068" w:name="Tc_Wn1TnLcD4E6QKerREYWv-g_12_24"/>
      <w:bookmarkStart w:id="1069" w:name="Tc_hcs6t_w2L0-h80e5epHIag_12_18"/>
      <w:bookmarkStart w:id="1070" w:name="Tc_5CoK030TdkqNNCwjTxxhHA_12_15"/>
      <w:bookmarkStart w:id="1071" w:name="Tc_U_yyjjjbhEeMAVWCTO4ddg_12_12"/>
      <w:bookmarkStart w:id="1072" w:name="Tc_aXugb1IEd0SCXjQHgFukEg_12_10"/>
      <w:bookmarkStart w:id="1073" w:name="Tc_gc543nmSY0C_H54DLoVCfQ_12_7"/>
      <w:bookmarkStart w:id="1074" w:name="Tc_99A2noISTEiYIjluzvWqXQ_12_5"/>
      <w:bookmarkStart w:id="1075" w:name="Tc_MKQdeuIl8UmThxppb1qB7w_12_2"/>
      <w:bookmarkStart w:id="1076" w:name="Tc_VKvyia9h30aP2_twF8AVoQ_12_0"/>
      <w:bookmarkStart w:id="1077" w:name="Tc_GK9woeWnhE-CkxzdEF5ORA_11_24"/>
      <w:bookmarkStart w:id="1078" w:name="Tc_Y2hMF7-RhUmuVpVfEob0wQ_11_21"/>
      <w:bookmarkStart w:id="1079" w:name="Tc_UjSJfOhU_EiSjXE0hIf_HA_11_10"/>
      <w:bookmarkStart w:id="1080" w:name="Tc_QFRSgE2260GfLqLUeAi5yw_11_7"/>
      <w:bookmarkStart w:id="1081" w:name="Tc_uCwlm03td0yXuSJULbHUQg_11_5"/>
      <w:bookmarkStart w:id="1082" w:name="Tc_JWT7kuHUAUWwx_L_507pdw_11_2"/>
      <w:bookmarkStart w:id="1083" w:name="Tc_TGYbBRIU-UqGhr6lj8pQ-A_11_0"/>
      <w:bookmarkStart w:id="1084" w:name="Tc_TtJjVvig90mnq6Jt1WkLFA_10_24"/>
      <w:bookmarkStart w:id="1085" w:name="Tc_n_GHby1CE0yTg4nliI6HWg_10_21"/>
      <w:bookmarkStart w:id="1086" w:name="Tc_vJMQgphPvUqb4KeXNxNj2A_10_15"/>
      <w:bookmarkStart w:id="1087" w:name="Tc_LGJmIWkel0OIrP3nEAGi7w_10_10"/>
      <w:bookmarkStart w:id="1088" w:name="Tc_jDPIaudNgk60dhhgwffQiQ_10_7"/>
      <w:bookmarkStart w:id="1089" w:name="Tc_IxOyqJ42_Um4s8TTaPEJYQ_10_5"/>
      <w:bookmarkStart w:id="1090" w:name="Tc_fHrg20bUOUO085dhBoikAg_10_2"/>
      <w:bookmarkStart w:id="1091" w:name="Tc_siL3yf6PiUWN3LarYf-GiQ_10_0"/>
      <w:bookmarkStart w:id="1092" w:name="Tc_yjeNS4rbV0Oyo3jwab0G0g_9_24"/>
      <w:bookmarkStart w:id="1093" w:name="Tc_Si50Po5utEew6SIMu4nL5w_9_21"/>
      <w:bookmarkStart w:id="1094" w:name="Tc_IGTV9D-3XU2ZFjZ34YEHmw_9_15"/>
      <w:bookmarkStart w:id="1095" w:name="Tc_sYRx2z12XUitAuA71ZkTzA_9_10"/>
      <w:bookmarkStart w:id="1096" w:name="Tc_c8W0hANg1kqtiLnbT86_VA_9_7"/>
      <w:bookmarkStart w:id="1097" w:name="Tc_3v9YspLgpk2Iy9-ClNwfgg_9_5"/>
      <w:bookmarkStart w:id="1098" w:name="Tc_O7at7wuJQE6llO2QyL1luQ_9_2"/>
      <w:bookmarkStart w:id="1099" w:name="Tc_SQjmYpS9n0-dSg0-uNngLg_9_0"/>
      <w:bookmarkStart w:id="1100" w:name="Tc_AzHCoS95cEe_8VMeKvm6Zg_8_27"/>
      <w:bookmarkStart w:id="1101" w:name="Tc_yQyeEL26C0uNQsynCh9aGw_8_24"/>
      <w:bookmarkStart w:id="1102" w:name="Tc_gUFNh_qItkusztHEQTizag_8_21"/>
      <w:bookmarkStart w:id="1103" w:name="Tc_P4le4VrJQkeZeZQ1ZKOnmg_8_18"/>
      <w:bookmarkStart w:id="1104" w:name="Tc_QZXc6u2Hk0u74S9h5FaGlg_8_15"/>
      <w:bookmarkStart w:id="1105" w:name="Tc_ScclwK34J0qo197__QsCLw_8_10"/>
      <w:bookmarkStart w:id="1106" w:name="Tc_ankyoMRQN0OLZrADp1EEVQ_8_7"/>
      <w:bookmarkStart w:id="1107" w:name="Tc_WvX5je159U-PHFdFtHnDwQ_8_5"/>
      <w:bookmarkStart w:id="1108" w:name="Tc_6SbvDGaGCE6svbe4FRKOnQ_8_2"/>
      <w:bookmarkStart w:id="1109" w:name="Tc_elNIVkKwYEqIm8rFI5aTlw_8_0"/>
      <w:bookmarkStart w:id="1110" w:name="Tc_lkoOs5NT20epgZ8ftg34Vw_7_24"/>
      <w:bookmarkStart w:id="1111" w:name="Tc_bhJebEcRxkeeyYGXkHQEOg_7_21"/>
      <w:bookmarkStart w:id="1112" w:name="Tc_nqEGP1rkeku79ESb0uI2mQ_7_15"/>
      <w:bookmarkStart w:id="1113" w:name="Tc_7vwBf6sGh0qjd9cfiQSHfA_7_10"/>
      <w:bookmarkStart w:id="1114" w:name="Tc_bKYCQsUBikiR6U6cba2G0g_7_7"/>
      <w:bookmarkStart w:id="1115" w:name="Tc_hr4H8hEHEUyw9Bgbdz-ZgQ_7_5"/>
      <w:bookmarkStart w:id="1116" w:name="Tc_1G8V4Gp3fEW_2hbEYozplw_7_2"/>
      <w:bookmarkStart w:id="1117" w:name="Tc_3XiTkZ37cUCtlRrUEhAVQQ_7_0"/>
      <w:bookmarkStart w:id="1118" w:name="Tc_lUwmf88OjE-WDY04It9DsA_6_24"/>
      <w:bookmarkStart w:id="1119" w:name="Tc_ghGky_njoUaxA8V3mOf5WQ_6_21"/>
      <w:bookmarkStart w:id="1120" w:name="Tc_vMYdeY33gEKcf_WmO7PGNA_6_15"/>
      <w:bookmarkStart w:id="1121" w:name="Tc_t5OU6xUSZE6IWFHE5frrow_6_12"/>
      <w:bookmarkStart w:id="1122" w:name="Tc_L_vE4Sl2EkecpHABsPjf4w_6_10"/>
      <w:bookmarkStart w:id="1123" w:name="Tc_5oxojXlLw06ScmRCl2ihpQ_6_7"/>
      <w:bookmarkStart w:id="1124" w:name="Tc_XbMShqkXo0uVIsZrEForKA_6_5"/>
      <w:bookmarkStart w:id="1125" w:name="Tc_F6s7d2gSP0aunvV910-jvg_6_2"/>
      <w:bookmarkStart w:id="1126" w:name="Tc_H-P7GF1sxEWxebuL7OMCsA_6_0"/>
      <w:bookmarkStart w:id="1127" w:name="Tc_j4_OQflc8kKRK3FOcQOV1g_5_26"/>
      <w:bookmarkStart w:id="1128" w:name="Tc_F4hafV10O0aJ3BPwjOqgTw_5_23"/>
      <w:bookmarkStart w:id="1129" w:name="Tc_3qmMOBrjwkKZFPcrimC4eA_5_20"/>
      <w:bookmarkStart w:id="1130" w:name="Tc_R6Zh0OVjNEuHz5HJdD1Mmw_5_17"/>
      <w:bookmarkStart w:id="1131" w:name="Tc_AGsR02qG20Ce1p-7H6fLAg_5_14"/>
      <w:bookmarkStart w:id="1132" w:name="Tc_jal3Pm4IlUuUK06O_E88Ig_5_9"/>
      <w:bookmarkStart w:id="1133" w:name="Tc_8_4Ie9URb0ug1t1qUftjjw_5_5"/>
      <w:bookmarkStart w:id="1134" w:name="Tc_oAvxyea7T0-eu8m2Dith9A_5_4"/>
      <w:bookmarkStart w:id="1135" w:name="Tc_ZkK3yfKtfEqW_6C_pdApWA_5_0"/>
      <w:bookmarkStart w:id="1136" w:name="Tc_dzn5AdvmtEmi2j4yvo0Qcw_4_26"/>
      <w:bookmarkStart w:id="1137" w:name="Tc_NU9Btylr90i7ucPUD9vN_w_4_23"/>
      <w:bookmarkStart w:id="1138" w:name="Tc_yTDCNCp7uUSNjihikrpfCw_4_20"/>
      <w:bookmarkStart w:id="1139" w:name="Tc_ixKkfi_4pk6AT1jOlkjCsA_4_17"/>
      <w:bookmarkStart w:id="1140" w:name="Tc_sPYu0HuYY0m_couYzTnG0w_4_14"/>
      <w:bookmarkStart w:id="1141" w:name="Tc_D9yUjMLYskOvgVLpXV1A1w_4_12"/>
      <w:bookmarkStart w:id="1142" w:name="Tc_Jo6FAp7BsEO5NbxyyMKfCQ_4_9"/>
      <w:bookmarkStart w:id="1143" w:name="Tc_fx_5hs1blU69Odvp2lzjBw_4_7"/>
      <w:bookmarkStart w:id="1144" w:name="Tc_EX-q4gx_2E2yyqHJffQjhA_4_4"/>
      <w:bookmarkStart w:id="1145" w:name="Tc_kwDVQv9Fk0C5wnPIiLHVpg_4_2"/>
      <w:bookmarkStart w:id="1146" w:name="Tc_qjV3y48HEU2vQTtIUD3L-w_3_26"/>
      <w:bookmarkStart w:id="1147" w:name="Tc_V8YPUJKlX0eLtugUVJ8QYw_3_23"/>
      <w:bookmarkStart w:id="1148" w:name="Tc_QHLDfLn-S06PH-5uVLISKQ_3_20"/>
      <w:bookmarkStart w:id="1149" w:name="Tc_Ca_6fpJwZU-zCeEFdCiPEw_3_17"/>
      <w:bookmarkStart w:id="1150" w:name="Tc_DCmozNtWvkueyyRrM6n9Aw_3_12"/>
      <w:bookmarkStart w:id="1151" w:name="Tc_OCV3q7zGiEOZlGH74f3Fwg_3_7"/>
      <w:bookmarkStart w:id="1152" w:name="Tc_IUgXzhbydUqaaFu0iq4j1A_3_2"/>
      <w:bookmarkStart w:id="1153" w:name="Tc_ZIZntsov0EK1CWieDb4EwA_2_26"/>
      <w:bookmarkStart w:id="1154" w:name="Tc_vie_hccWmU2pKXQV2GLh9Q_2_20"/>
      <w:bookmarkStart w:id="1155" w:name="Tc_ox486oxwLUKgo8DqI-ymZA_2_17"/>
      <w:bookmarkStart w:id="1156" w:name="Tc_7JuSvi_9dkifCT2sfZFeaw_2_7"/>
      <w:bookmarkStart w:id="1157" w:name="Tc_MR6b6E7cVEOyt-f8LjSf_g_2_2"/>
      <w:bookmarkStart w:id="1158" w:name="Tc_dSa6rMPAZ0icOfDpQSZGhw_1_7"/>
      <w:bookmarkStart w:id="1159" w:name="Tc_9Y6_Epmx9UW9A6cJ9Si1Rg_1_2"/>
      <w:bookmarkStart w:id="1160" w:name="_fd65668a_dcf4_4a15_bd98_77d940dc8f13"/>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tbl>
      <w:tblPr>
        <w:tblW w:w="14483" w:type="dxa"/>
        <w:jc w:val="left"/>
        <w:tblInd w:w="0" w:type="dxa"/>
        <w:tblLayout w:type="fixed"/>
        <w:tblCellMar>
          <w:top w:w="0" w:type="dxa"/>
          <w:left w:w="0" w:type="dxa"/>
          <w:bottom w:w="0" w:type="dxa"/>
          <w:right w:w="0" w:type="dxa"/>
        </w:tblCellMar>
      </w:tblPr>
      <w:tblGrid>
        <w:gridCol w:w="1816"/>
        <w:gridCol w:w="346"/>
        <w:gridCol w:w="586"/>
        <w:gridCol w:w="346"/>
        <w:gridCol w:w="249"/>
        <w:gridCol w:w="442"/>
        <w:gridCol w:w="346"/>
        <w:gridCol w:w="826"/>
        <w:gridCol w:w="346"/>
        <w:gridCol w:w="249"/>
        <w:gridCol w:w="442"/>
        <w:gridCol w:w="346"/>
        <w:gridCol w:w="1006"/>
        <w:gridCol w:w="346"/>
        <w:gridCol w:w="249"/>
        <w:gridCol w:w="442"/>
        <w:gridCol w:w="346"/>
        <w:gridCol w:w="196"/>
        <w:gridCol w:w="826"/>
        <w:gridCol w:w="346"/>
        <w:gridCol w:w="376"/>
        <w:gridCol w:w="1155"/>
        <w:gridCol w:w="346"/>
        <w:gridCol w:w="196"/>
        <w:gridCol w:w="886"/>
        <w:gridCol w:w="346"/>
        <w:gridCol w:w="213"/>
        <w:gridCol w:w="868"/>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53160" cy="175260"/>
                      <wp:effectExtent l="0" t="0" r="0" b="0"/>
                      <wp:wrapNone/>
                      <wp:docPr id="62" name="Frame6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72110" cy="175260"/>
                      <wp:effectExtent l="0" t="0" r="0" b="0"/>
                      <wp:wrapNone/>
                      <wp:docPr id="64" name="Frame6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8115" cy="175260"/>
                      <wp:effectExtent l="0" t="0" r="0" b="0"/>
                      <wp:wrapNone/>
                      <wp:docPr id="66" name="Frame6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0670" cy="175260"/>
                      <wp:effectExtent l="0" t="0" r="0" b="0"/>
                      <wp:wrapNone/>
                      <wp:docPr id="67" name="Frame6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24510" cy="175260"/>
                      <wp:effectExtent l="0" t="0" r="0" b="0"/>
                      <wp:wrapNone/>
                      <wp:docPr id="69" name="Frame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58115" cy="175260"/>
                      <wp:effectExtent l="0" t="0" r="0" b="0"/>
                      <wp:wrapNone/>
                      <wp:docPr id="71" name="Frame7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80670" cy="175260"/>
                      <wp:effectExtent l="0" t="0" r="0" b="0"/>
                      <wp:wrapNone/>
                      <wp:docPr id="72" name="Frame72"/>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38810" cy="175260"/>
                      <wp:effectExtent l="0" t="0" r="0" b="0"/>
                      <wp:wrapNone/>
                      <wp:docPr id="74" name="Frame7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58115" cy="175260"/>
                      <wp:effectExtent l="0" t="0" r="0" b="0"/>
                      <wp:wrapNone/>
                      <wp:docPr id="76" name="Frame7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80670" cy="175260"/>
                      <wp:effectExtent l="0" t="0" r="0" b="0"/>
                      <wp:wrapNone/>
                      <wp:docPr id="77" name="Frame7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24510" cy="175260"/>
                      <wp:effectExtent l="0" t="0" r="0" b="0"/>
                      <wp:wrapNone/>
                      <wp:docPr id="80" name="Frame8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38760" cy="175260"/>
                      <wp:effectExtent l="0" t="0" r="0" b="0"/>
                      <wp:wrapNone/>
                      <wp:docPr id="82" name="Frame8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33425" cy="175260"/>
                      <wp:effectExtent l="0" t="0" r="0" b="0"/>
                      <wp:wrapNone/>
                      <wp:docPr id="83" name="Frame83"/>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2610" cy="175260"/>
                      <wp:effectExtent l="0" t="0" r="0" b="0"/>
                      <wp:wrapNone/>
                      <wp:docPr id="86" name="Frame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5255" cy="175260"/>
                      <wp:effectExtent l="0" t="0" r="0" b="0"/>
                      <wp:wrapNone/>
                      <wp:docPr id="88" name="Frame8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51180" cy="175260"/>
                      <wp:effectExtent l="0" t="0" r="0" b="0"/>
                      <wp:wrapNone/>
                      <wp:docPr id="89" name="Frame8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A </w:t>
            </w:r>
          </w:p>
        </w:tc>
        <w:tc>
          <w:tcPr>
            <w:tcW w:w="346" w:type="dxa"/>
            <w:tcBorders/>
            <w:vAlign w:val="center"/>
          </w:tcPr>
          <w:p>
            <w:pPr>
              <w:pStyle w:val="TableContents"/>
              <w:bidi w:val="0"/>
              <w:spacing w:before="0" w:after="0"/>
              <w:ind w:left="0" w:right="0" w:hanging="0"/>
              <w:jc w:val="center"/>
              <w:rPr/>
            </w:pPr>
            <w:r>
              <w:rPr/>
              <w:t>​</w:t>
            </w:r>
          </w:p>
        </w:tc>
        <w:tc>
          <w:tcPr>
            <w:tcW w:w="186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Series B</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0"/>
              <w:ind w:left="0" w:right="0" w:hanging="0"/>
              <w:jc w:val="center"/>
              <w:rPr/>
            </w:pPr>
            <w:r>
              <w:rPr/>
              <w:t>​</w:t>
            </w:r>
          </w:p>
        </w:tc>
        <w:tc>
          <w:tcPr>
            <w:tcW w:w="186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0"/>
              <w:ind w:left="0" w:right="0" w:hanging="0"/>
              <w:jc w:val="center"/>
              <w:rPr/>
            </w:pPr>
            <w:r>
              <w:rPr/>
              <w:t>​</w:t>
            </w:r>
          </w:p>
        </w:tc>
        <w:tc>
          <w:tcPr>
            <w:tcW w:w="18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46" w:type="dxa"/>
            <w:tcBorders/>
            <w:vAlign w:val="center"/>
          </w:tcPr>
          <w:p>
            <w:pPr>
              <w:pStyle w:val="TableContents"/>
              <w:bidi w:val="0"/>
              <w:spacing w:before="0" w:after="0"/>
              <w:ind w:left="0" w:right="0" w:hanging="0"/>
              <w:jc w:val="center"/>
              <w:rPr/>
            </w:pPr>
            <w:r>
              <w:rPr/>
              <w:t>​</w:t>
            </w:r>
          </w:p>
        </w:tc>
        <w:tc>
          <w:tcPr>
            <w:tcW w:w="20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5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5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411,938,061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3,457,654</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(2,775,530)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698,583</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23,561</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23,561</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448,277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2,904,310</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(1,247,841)</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(5,345)</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(5,345)</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8,632</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sold in public and/or at the market offering, net of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38,919,577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148,079</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148,081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on investments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cumulative translation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(3,225)</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(126,360)</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(126,360)</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452,971,016</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3,624,836</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(2,901,890)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736,045</w:t>
            </w:r>
          </w:p>
        </w:tc>
      </w:tr>
      <w:tr>
        <w:trPr/>
        <w:tc>
          <w:tcPr>
            <w:tcW w:w="18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center"/>
              <w:rPr/>
            </w:pPr>
            <w:r>
              <w:rPr/>
              <w:t>​</w:t>
            </w:r>
          </w:p>
        </w:tc>
        <w:tc>
          <w:tcPr>
            <w:tcW w:w="115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3" w:type="dxa"/>
            <w:tcBorders/>
            <w:vAlign w:val="center"/>
          </w:tcPr>
          <w:p>
            <w:pPr>
              <w:pStyle w:val="TableContents"/>
              <w:bidi w:val="0"/>
              <w:spacing w:before="0" w:after="0"/>
              <w:ind w:left="0" w:right="0" w:hanging="0"/>
              <w:jc w:val="center"/>
              <w:rPr/>
            </w:pPr>
            <w:r>
              <w:rPr/>
              <w:t>​</w:t>
            </w:r>
          </w:p>
        </w:tc>
        <w:tc>
          <w:tcPr>
            <w:tcW w:w="868" w:type="dxa"/>
            <w:tcBorders/>
            <w:vAlign w:val="center"/>
          </w:tcPr>
          <w:p>
            <w:pPr>
              <w:pStyle w:val="TableContents"/>
              <w:bidi w:val="0"/>
              <w:spacing w:before="0" w:after="0"/>
              <w:ind w:left="0" w:right="0" w:hanging="0"/>
              <w:jc w:val="center"/>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2,842,158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305,252,194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3,095,987</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(2,384,552)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710,405</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37,454</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37,454</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355,708</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669</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4,141,748</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(1,645,397)</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(6,148)</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(6,148)</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2,586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sold in public and/or at the market offering, net of offering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32,903,034</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162,008</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162,009</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from preferred stock conversion</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(909,491)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909,491</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cumulative adjustments</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22,045</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(227,821)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(227,821)</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 June 30, 2025</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1,932,667</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341,919,364</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3,289,986</w:t>
            </w:r>
          </w:p>
        </w:tc>
        <w:tc>
          <w:tcPr>
            <w:tcW w:w="346" w:type="dxa"/>
            <w:tcBorders/>
            <w:vAlign w:val="center"/>
          </w:tcPr>
          <w:p>
            <w:pPr>
              <w:pStyle w:val="TableContents"/>
              <w:bidi w:val="0"/>
              <w:spacing w:before="0" w:after="0"/>
              <w:ind w:left="0" w:right="0" w:hanging="0"/>
              <w:jc w:val="left"/>
              <w:rPr/>
            </w:pPr>
            <w:r>
              <w:rPr/>
              <w:t>​</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20,859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(2,612,373)</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698,488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161" w:name="_9f35da5d_466b_4e34_90c2_12ea3d051d0d"/>
      <w:bookmarkEnd w:id="1161"/>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162" w:name="Tc_YLNpMh6MI0-q-WTAhRZVHA_47_0"/>
      <w:bookmarkStart w:id="1163" w:name="Tc_KDsDX-4-wkO_IRbiZPxnpw_46_3"/>
      <w:bookmarkStart w:id="1164" w:name="Tc_RCxJKXSmGEW280kRnhFcIQ_46_0"/>
      <w:bookmarkStart w:id="1165" w:name="Tc_ckvpJS7t8ECCDU5gu68zSA_45_0"/>
      <w:bookmarkStart w:id="1166" w:name="Tc_4LKL4TA5kU-WwyZzsVzKDg_44_0"/>
      <w:bookmarkStart w:id="1167" w:name="Tc_laRdcHrXgU6kOV-jFXv0gg_43_0"/>
      <w:bookmarkStart w:id="1168" w:name="Tc_tm3f6TTWCkyBXkOHXeRTtA_41_5"/>
      <w:bookmarkStart w:id="1169" w:name="Tc_qhUhDEpXfEOuk9IiE-hVgQ_41_2"/>
      <w:bookmarkStart w:id="1170" w:name="Tc_VCuWcr6nzEiNPOSkiPTKCw_41_0"/>
      <w:bookmarkStart w:id="1171" w:name="Tc_2TkJrABxdUezLOwtbsxACw_40_0"/>
      <w:bookmarkStart w:id="1172" w:name="Tc_bJ_A92Cw-UyGw7XG3qWlOQ_39_0"/>
      <w:bookmarkStart w:id="1173" w:name="Tc_BySyTc7LBU6V3_VvKxEtZg_38_0"/>
      <w:bookmarkStart w:id="1174" w:name="Tc_WoIzHfjbvkGg8nuoyDXTQw_37_0"/>
      <w:bookmarkStart w:id="1175" w:name="Tc_d-cjrvqWHECVbVEqNk_8og_36_0"/>
      <w:bookmarkStart w:id="1176" w:name="Tc_LEDRU1rGEkmweHCc5h6xVw_35_0"/>
      <w:bookmarkStart w:id="1177" w:name="Tc_9OCR4N5nTEmD2DXNA3VqeA_34_0"/>
      <w:bookmarkStart w:id="1178" w:name="Tc_Qr4QPhfE4Eye0Pna7KaeOA_33_0"/>
      <w:bookmarkStart w:id="1179" w:name="Tc_BmW-MgKiVUKR0y_m-O_Llw_32_0"/>
      <w:bookmarkStart w:id="1180" w:name="Tc_mFQljni9UkWEmRoiju_kpQ_30_0"/>
      <w:bookmarkStart w:id="1181" w:name="Tc_-VvjbHtIS0-KIgKSX0CBVQ_29_0"/>
      <w:bookmarkStart w:id="1182" w:name="Tc_EHe5gCStsk-K4mHW6tBLOA_28_0"/>
      <w:bookmarkStart w:id="1183" w:name="Tc_pJV8aACtUEuInacEL9rvYQ_27_0"/>
      <w:bookmarkStart w:id="1184" w:name="Tc_kBDQ_AdUSkqFBBxloxCksw_26_0"/>
      <w:bookmarkStart w:id="1185" w:name="Tc_GE18p0hKxkq4O5zxjuoD8w_24_0"/>
      <w:bookmarkStart w:id="1186" w:name="Tc_ZmThVvYSQEymHeA7OvlZwA_23_0"/>
      <w:bookmarkStart w:id="1187" w:name="Tc_0tqEtAH4-E-KL1H0D30Gvw_22_0"/>
      <w:bookmarkStart w:id="1188" w:name="Tc_USLXXDD9dkW5y7rkmwnneg_21_0"/>
      <w:bookmarkStart w:id="1189" w:name="Tc_9fqZpBLIo0umqcA3UfQRKg_20_0"/>
      <w:bookmarkStart w:id="1190" w:name="Tc_Fl4Wco7IZkmS8QPEQ1MlfQ_19_0"/>
      <w:bookmarkStart w:id="1191" w:name="Tc_JZ-sLHkVYkCWDJT76PG0Ww_18_0"/>
      <w:bookmarkStart w:id="1192" w:name="Tc_7PBu7McXiUehN6US0t2JlA_17_3"/>
      <w:bookmarkStart w:id="1193" w:name="Tc_V7yVJ3ESOkKS1ac5LQARrA_17_0"/>
      <w:bookmarkStart w:id="1194" w:name="Tc_QCslAvvjE0mDyTP_xVljQg_16_6"/>
      <w:bookmarkStart w:id="1195" w:name="Tc_JNVK0z66QkqoMDvJBFPh0Q_16_0"/>
      <w:bookmarkStart w:id="1196" w:name="Tc_zarV6oKZgU-mdiPpnzhx4w_15_0"/>
      <w:bookmarkStart w:id="1197" w:name="Tc_wC0snqb1oUqzVSsNifQlEw_14_0"/>
      <w:bookmarkStart w:id="1198" w:name="Tc_dVL5_d-zfEWkn9TqQQ4ong_13_0"/>
      <w:bookmarkStart w:id="1199" w:name="Tc_anxS21tILE60v5QTP5KaZA_12_0"/>
      <w:bookmarkStart w:id="1200" w:name="Tc_qFB-6-9wTUOm4bIHYVrjAA_11_0"/>
      <w:bookmarkStart w:id="1201" w:name="Tc_mSapUly-3EyNk5ITqFAjyA_10_0"/>
      <w:bookmarkStart w:id="1202" w:name="Tc__DY8sn9X70ak4x5oIwSvaw_9_0"/>
      <w:bookmarkStart w:id="1203" w:name="Tc_V_Ze4YVKA0CTWrZuhnAfVQ_8_0"/>
      <w:bookmarkStart w:id="1204" w:name="Tc_jZd2G6mlL0aL-g_Efelk9A_7_0"/>
      <w:bookmarkStart w:id="1205" w:name="Tc_BHFYR-cwvkGpSHYvAmj5rA_6_0"/>
      <w:bookmarkStart w:id="1206" w:name="Tc_XPSCQhSxg0m8FVU0-LLW0Q_5_5"/>
      <w:bookmarkStart w:id="1207" w:name="Tc_xSHliXB4gE-onL7zitScfg_5_2"/>
      <w:bookmarkStart w:id="1208" w:name="Tc_4BXh-HZdY0aKID7IuNzkiw_5_0"/>
      <w:bookmarkStart w:id="1209" w:name="Tc_HArayzvrrkq9rXjOfGLt9g_4_0"/>
      <w:bookmarkStart w:id="1210" w:name="Tc_IZDzyG3_WUm9yAdvTZe8aA_3_5"/>
      <w:bookmarkStart w:id="1211" w:name="Tc_1-uy-mgmKUSnj4aTskdYKQ_3_2"/>
      <w:bookmarkStart w:id="1212" w:name="Tc_1oSoVgB5SECAg4gCXRPpvQ_2_2"/>
      <w:bookmarkStart w:id="1213" w:name="Tc_Kqev-yaBgU6ct3T_fcuVGg_1_2"/>
      <w:bookmarkStart w:id="1214" w:name="_fe60453f_127a_46cd_a341_377132ae5c43"/>
      <w:bookmarkStart w:id="1215" w:name="Tc_YLNpMh6MI0-q-WTAhRZVHA_47_0"/>
      <w:bookmarkStart w:id="1216" w:name="Tc_KDsDX-4-wkO_IRbiZPxnpw_46_3"/>
      <w:bookmarkStart w:id="1217" w:name="Tc_RCxJKXSmGEW280kRnhFcIQ_46_0"/>
      <w:bookmarkStart w:id="1218" w:name="Tc_ckvpJS7t8ECCDU5gu68zSA_45_0"/>
      <w:bookmarkStart w:id="1219" w:name="Tc_4LKL4TA5kU-WwyZzsVzKDg_44_0"/>
      <w:bookmarkStart w:id="1220" w:name="Tc_laRdcHrXgU6kOV-jFXv0gg_43_0"/>
      <w:bookmarkStart w:id="1221" w:name="Tc_tm3f6TTWCkyBXkOHXeRTtA_41_5"/>
      <w:bookmarkStart w:id="1222" w:name="Tc_qhUhDEpXfEOuk9IiE-hVgQ_41_2"/>
      <w:bookmarkStart w:id="1223" w:name="Tc_VCuWcr6nzEiNPOSkiPTKCw_41_0"/>
      <w:bookmarkStart w:id="1224" w:name="Tc_2TkJrABxdUezLOwtbsxACw_40_0"/>
      <w:bookmarkStart w:id="1225" w:name="Tc_bJ_A92Cw-UyGw7XG3qWlOQ_39_0"/>
      <w:bookmarkStart w:id="1226" w:name="Tc_BySyTc7LBU6V3_VvKxEtZg_38_0"/>
      <w:bookmarkStart w:id="1227" w:name="Tc_WoIzHfjbvkGg8nuoyDXTQw_37_0"/>
      <w:bookmarkStart w:id="1228" w:name="Tc_d-cjrvqWHECVbVEqNk_8og_36_0"/>
      <w:bookmarkStart w:id="1229" w:name="Tc_LEDRU1rGEkmweHCc5h6xVw_35_0"/>
      <w:bookmarkStart w:id="1230" w:name="Tc_9OCR4N5nTEmD2DXNA3VqeA_34_0"/>
      <w:bookmarkStart w:id="1231" w:name="Tc_Qr4QPhfE4Eye0Pna7KaeOA_33_0"/>
      <w:bookmarkStart w:id="1232" w:name="Tc_BmW-MgKiVUKR0y_m-O_Llw_32_0"/>
      <w:bookmarkStart w:id="1233" w:name="Tc_mFQljni9UkWEmRoiju_kpQ_30_0"/>
      <w:bookmarkStart w:id="1234" w:name="Tc_-VvjbHtIS0-KIgKSX0CBVQ_29_0"/>
      <w:bookmarkStart w:id="1235" w:name="Tc_EHe5gCStsk-K4mHW6tBLOA_28_0"/>
      <w:bookmarkStart w:id="1236" w:name="Tc_pJV8aACtUEuInacEL9rvYQ_27_0"/>
      <w:bookmarkStart w:id="1237" w:name="Tc_kBDQ_AdUSkqFBBxloxCksw_26_0"/>
      <w:bookmarkStart w:id="1238" w:name="Tc_GE18p0hKxkq4O5zxjuoD8w_24_0"/>
      <w:bookmarkStart w:id="1239" w:name="Tc_ZmThVvYSQEymHeA7OvlZwA_23_0"/>
      <w:bookmarkStart w:id="1240" w:name="Tc_0tqEtAH4-E-KL1H0D30Gvw_22_0"/>
      <w:bookmarkStart w:id="1241" w:name="Tc_USLXXDD9dkW5y7rkmwnneg_21_0"/>
      <w:bookmarkStart w:id="1242" w:name="Tc_9fqZpBLIo0umqcA3UfQRKg_20_0"/>
      <w:bookmarkStart w:id="1243" w:name="Tc_Fl4Wco7IZkmS8QPEQ1MlfQ_19_0"/>
      <w:bookmarkStart w:id="1244" w:name="Tc_JZ-sLHkVYkCWDJT76PG0Ww_18_0"/>
      <w:bookmarkStart w:id="1245" w:name="Tc_7PBu7McXiUehN6US0t2JlA_17_3"/>
      <w:bookmarkStart w:id="1246" w:name="Tc_V7yVJ3ESOkKS1ac5LQARrA_17_0"/>
      <w:bookmarkStart w:id="1247" w:name="Tc_QCslAvvjE0mDyTP_xVljQg_16_6"/>
      <w:bookmarkStart w:id="1248" w:name="Tc_JNVK0z66QkqoMDvJBFPh0Q_16_0"/>
      <w:bookmarkStart w:id="1249" w:name="Tc_zarV6oKZgU-mdiPpnzhx4w_15_0"/>
      <w:bookmarkStart w:id="1250" w:name="Tc_wC0snqb1oUqzVSsNifQlEw_14_0"/>
      <w:bookmarkStart w:id="1251" w:name="Tc_dVL5_d-zfEWkn9TqQQ4ong_13_0"/>
      <w:bookmarkStart w:id="1252" w:name="Tc_anxS21tILE60v5QTP5KaZA_12_0"/>
      <w:bookmarkStart w:id="1253" w:name="Tc_qFB-6-9wTUOm4bIHYVrjAA_11_0"/>
      <w:bookmarkStart w:id="1254" w:name="Tc_mSapUly-3EyNk5ITqFAjyA_10_0"/>
      <w:bookmarkStart w:id="1255" w:name="Tc__DY8sn9X70ak4x5oIwSvaw_9_0"/>
      <w:bookmarkStart w:id="1256" w:name="Tc_V_Ze4YVKA0CTWrZuhnAfVQ_8_0"/>
      <w:bookmarkStart w:id="1257" w:name="Tc_jZd2G6mlL0aL-g_Efelk9A_7_0"/>
      <w:bookmarkStart w:id="1258" w:name="Tc_BHFYR-cwvkGpSHYvAmj5rA_6_0"/>
      <w:bookmarkStart w:id="1259" w:name="Tc_XPSCQhSxg0m8FVU0-LLW0Q_5_5"/>
      <w:bookmarkStart w:id="1260" w:name="Tc_xSHliXB4gE-onL7zitScfg_5_2"/>
      <w:bookmarkStart w:id="1261" w:name="Tc_4BXh-HZdY0aKID7IuNzkiw_5_0"/>
      <w:bookmarkStart w:id="1262" w:name="Tc_HArayzvrrkq9rXjOfGLt9g_4_0"/>
      <w:bookmarkStart w:id="1263" w:name="Tc_IZDzyG3_WUm9yAdvTZe8aA_3_5"/>
      <w:bookmarkStart w:id="1264" w:name="Tc_1-uy-mgmKUSnj4aTskdYKQ_3_2"/>
      <w:bookmarkStart w:id="1265" w:name="Tc_1oSoVgB5SECAg4gCXRPpvQ_2_2"/>
      <w:bookmarkStart w:id="1266" w:name="Tc_Kqev-yaBgU6ct3T_fcuVGg_1_2"/>
      <w:bookmarkStart w:id="1267" w:name="_fe60453f_127a_46cd_a341_377132ae5c43"/>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tbl>
      <w:tblPr>
        <w:tblW w:w="9187" w:type="dxa"/>
        <w:jc w:val="left"/>
        <w:tblInd w:w="0" w:type="dxa"/>
        <w:tblLayout w:type="fixed"/>
        <w:tblCellMar>
          <w:top w:w="0" w:type="dxa"/>
          <w:left w:w="0" w:type="dxa"/>
          <w:bottom w:w="0" w:type="dxa"/>
          <w:right w:w="0" w:type="dxa"/>
        </w:tblCellMar>
      </w:tblPr>
      <w:tblGrid>
        <w:gridCol w:w="6436"/>
        <w:gridCol w:w="346"/>
        <w:gridCol w:w="196"/>
        <w:gridCol w:w="811"/>
        <w:gridCol w:w="346"/>
        <w:gridCol w:w="196"/>
        <w:gridCol w:w="856"/>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086860" cy="175260"/>
                      <wp:effectExtent l="0" t="0" r="0" b="0"/>
                      <wp:wrapNone/>
                      <wp:docPr id="90" name="Frame90"/>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4460" cy="175260"/>
                      <wp:effectExtent l="0" t="0" r="0" b="0"/>
                      <wp:wrapNone/>
                      <wp:docPr id="92" name="Frame9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14985" cy="175260"/>
                      <wp:effectExtent l="0" t="0" r="0" b="0"/>
                      <wp:wrapNone/>
                      <wp:docPr id="93" name="Frame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43560" cy="175260"/>
                      <wp:effectExtent l="0" t="0" r="0" b="0"/>
                      <wp:wrapNone/>
                      <wp:docPr id="96" name="Frame9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36"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(126,360)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(227,821)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37,858</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foreign exchange loss (gain)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11,465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right of use asset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5,747</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5,950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benefit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Excess and obsolescence reserve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8,311</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discounts and premiums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asset disposals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loan forgiveness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other assets and long-term assets</w:t>
            </w:r>
          </w:p>
        </w:tc>
        <w:tc>
          <w:tcPr>
            <w:tcW w:w="346" w:type="dxa"/>
            <w:tcBorders/>
            <w:shd w:fill="CCEEFF" w:val="clear"/>
            <w:vAlign w:val="center"/>
          </w:tcPr>
          <w:p>
            <w:pPr>
              <w:pStyle w:val="TableContents"/>
              <w:bidi w:val="0"/>
              <w:spacing w:before="0" w:after="1"/>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1"/>
              <w:ind w:left="0" w:right="0" w:hanging="0"/>
              <w:jc w:val="left"/>
              <w:rPr>
                <w:color w:val="FFFFFF"/>
              </w:rPr>
            </w:pPr>
            <w:r>
              <w:rPr>
                <w:color w:val="FFFFFF"/>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(10,138)</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9,402</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before="0" w:after="1"/>
              <w:ind w:left="0" w:right="0" w:hanging="0"/>
              <w:jc w:val="left"/>
              <w:rPr>
                <w:color w:val="FFFFFF"/>
              </w:rPr>
            </w:pPr>
            <w:r>
              <w:rPr>
                <w:color w:val="FFFFFF"/>
              </w:rPr>
              <w:t>​</w:t>
            </w:r>
          </w:p>
        </w:tc>
        <w:tc>
          <w:tcPr>
            <w:tcW w:w="196" w:type="dxa"/>
            <w:tcBorders/>
            <w:shd w:fill="CCEEFF" w:val="clear"/>
            <w:vAlign w:val="center"/>
          </w:tcPr>
          <w:p>
            <w:pPr>
              <w:pStyle w:val="TableContents"/>
              <w:bidi w:val="0"/>
              <w:spacing w:before="0" w:after="1"/>
              <w:ind w:left="0" w:right="0" w:hanging="0"/>
              <w:jc w:val="left"/>
              <w:rPr>
                <w:color w:val="FFFFFF"/>
              </w:rPr>
            </w:pPr>
            <w:r>
              <w:rPr>
                <w:color w:val="FFFFFF"/>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(7,187)</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(5,590)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2,945</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(29,653)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1,969</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(132,915)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(171,141)</w:t>
            </w:r>
          </w:p>
        </w:tc>
      </w:tr>
      <w:tr>
        <w:trPr/>
        <w:tc>
          <w:tcPr>
            <w:tcW w:w="6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Maturities of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210,000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(185,607)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(166,619)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(12,049)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(13,672)</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(62,656)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29,709</w:t>
            </w:r>
          </w:p>
        </w:tc>
      </w:tr>
      <w:tr>
        <w:trPr/>
        <w:tc>
          <w:tcPr>
            <w:tcW w:w="64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payments related to shares withheld for vested restricted stock units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(6,148)</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under 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upon exercise of options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148,081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162,009</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143,623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156,545</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foreign exchange rate changes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1,247</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increase (decrease) in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16,360</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169,058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122,053</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End of Period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116,773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138,413</w:t>
            </w:r>
          </w:p>
        </w:tc>
      </w:tr>
      <w:tr>
        <w:trPr/>
        <w:tc>
          <w:tcPr>
            <w:tcW w:w="64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left"/>
              <w:rPr/>
            </w:pPr>
            <w:r>
              <w:rPr/>
              <w:t>​</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left"/>
              <w:rPr/>
            </w:pPr>
            <w:r>
              <w:rPr/>
              <w:t>​</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unrealized loss on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property and equipment included in accounts payable and 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13,283</w:t>
            </w:r>
          </w:p>
        </w:tc>
      </w:tr>
      <w:tr>
        <w:trPr/>
        <w:tc>
          <w:tcPr>
            <w:tcW w:w="643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convertible preferred stock to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64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Increase in lease liabilities due to obtaining right-of-use assets from lease modifications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496</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200"/>
        <w:ind w:left="0" w:right="0" w:hanging="0"/>
        <w:jc w:val="center"/>
        <w:rPr/>
      </w:pPr>
      <w:bookmarkStart w:id="1268" w:name="_ff41d5e3_ba56_436e_8812_a0c782b12fdb"/>
      <w:bookmarkEnd w:id="1268"/>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CONDENSED CONSOLIDATED FINANCIAL STATEMENTS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1. GENERAL ORGANIZATION, BUSINESS AND LIQUIDITY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General Organization and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Iovance Biotherapeutics, Inc. (the “Company”) is a commercial-stage biopharmaceutical company pioneering a transformational approach to treating cancer. The Company’s mission is to be the global leader in innovating, developing, and delivering tumor infiltrating lymphocyte (“TIL”) cell therapies for patients with solid tumor cancers. TIL cell therapies harness the individual immune system’s ability to recognize and destroy cancer cells that are unique to each patient. These individualized therapies are manufactured using centralized, scalable, and proprietary manufacturing processes which rejuvenate and multiply each patient’s polyclonal T cells into the billions.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was founded to build upon the promise of TIL cell therapy initially developed at academic research centers, including the National Cancer Institute (“NCI”). The Company’s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The Company’s two commercial products include Amtagvi</w:t>
      </w:r>
      <w:r>
        <w:rPr>
          <w:rFonts w:ascii="Times New Roman;Times;serif" w:hAnsi="Times New Roman;Times;serif"/>
          <w:sz w:val="15"/>
        </w:rPr>
        <w:t>®</w:t>
      </w:r>
      <w:r>
        <w:rPr>
          <w:rFonts w:ascii="Times New Roman;Times;serif" w:hAnsi="Times New Roman;Times;serif"/>
          <w:sz w:val="20"/>
        </w:rPr>
        <w:t xml:space="preserve"> (lifileucel), and Proleukin</w:t>
      </w:r>
      <w:r>
        <w:rPr>
          <w:rFonts w:ascii="Times New Roman;Times;serif" w:hAnsi="Times New Roman;Times;serif"/>
          <w:sz w:val="15"/>
        </w:rPr>
        <w:t>®</w:t>
      </w:r>
      <w:r>
        <w:rPr>
          <w:rFonts w:ascii="Times New Roman;Times;serif" w:hAnsi="Times New Roman;Times;serif"/>
          <w:sz w:val="20"/>
        </w:rPr>
        <w:t xml:space="preserve"> (aldesleukin), an interleukin-2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in other applications.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is the first one-time, individualized T cell therapy for a solid tumor cancer and for the treatment of adult patients with previously treated advanced melanoma, defined as unresectable or metastatic melanoma, approved for use in the U.S., Canada, and Australia. Amtagvi</w:t>
      </w:r>
      <w:r>
        <w:rPr>
          <w:rFonts w:ascii="Times New Roman;Times;serif" w:hAnsi="Times New Roman;Times;serif"/>
          <w:sz w:val="15"/>
        </w:rPr>
        <w:t>®</w:t>
      </w:r>
      <w:r>
        <w:rPr>
          <w:rFonts w:ascii="Times New Roman;Times;serif" w:hAnsi="Times New Roman;Times;serif"/>
          <w:sz w:val="20"/>
        </w:rPr>
        <w:t xml:space="preserve"> is administered as part of a treatment regimen that includes lymphodepletion and a short course of Proleukin</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Globally, Amtagvi</w:t>
      </w:r>
      <w:r>
        <w:rPr>
          <w:rFonts w:ascii="Times New Roman;Times;serif" w:hAnsi="Times New Roman;Times;serif"/>
          <w:sz w:val="15"/>
        </w:rPr>
        <w:t>®</w:t>
      </w:r>
      <w:r>
        <w:rPr>
          <w:rFonts w:ascii="Times New Roman;Times;serif" w:hAnsi="Times New Roman;Times;serif"/>
          <w:sz w:val="20"/>
        </w:rPr>
        <w:t xml:space="preserve"> has the potential to address tens of thousands of previously treated advanced melanoma patients annually. The Company plans to launch Amtagvi</w:t>
      </w:r>
      <w:r>
        <w:rPr>
          <w:rFonts w:ascii="Times New Roman;Times;serif" w:hAnsi="Times New Roman;Times;serif"/>
          <w:sz w:val="15"/>
        </w:rPr>
        <w:t>®</w:t>
      </w:r>
      <w:r>
        <w:rPr>
          <w:rFonts w:ascii="Times New Roman;Times;serif" w:hAnsi="Times New Roman;Times;serif"/>
          <w:sz w:val="20"/>
        </w:rPr>
        <w:t xml:space="preserve"> into additional markets with a high prevalence of advanced melanoma. On June 4, 2026, the Company received marketing authorization with conditions from the Therapeutic Goods Administration of Australia for Amtagvi</w:t>
      </w:r>
      <w:r>
        <w:rPr>
          <w:rFonts w:ascii="Times New Roman;Times;serif" w:hAnsi="Times New Roman;Times;serif"/>
          <w:sz w:val="15"/>
        </w:rPr>
        <w:t>®</w:t>
      </w:r>
      <w:r>
        <w:rPr>
          <w:rFonts w:ascii="Times New Roman;Times;serif" w:hAnsi="Times New Roman;Times;serif"/>
          <w:sz w:val="20"/>
        </w:rPr>
        <w:t xml:space="preserve"> for previously treated advanced (metastatic or unresectable) melanoma. In the United Kingdom (“UK”), the Company resubmitted the marketing authorization application (“MAA”) with additional information in July 2026. The Medicines and Healthcare products Regulatory Agency (“MHRA”) is conducting an expedited review, with potential approval expected later in 2026. Potential approval is pending in Switzerland in 2027. In the European Union (“EU”), the Company is working with the European Medicines Agency (“EMA”) to resubmit a centralized MAA in 2026 or 2027.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development pipeline consists of TIL cell therapies in additional solid tumor cancer indications as monotherapy or in combination with standard of care, as well as next generation approaches. The Company is conducting two ongoing registrational trials in frontline advanced melanoma and previously treated advanced non-small cell lung cancer (“NSCLC”). The Company has commenced a registrational trial in previously treated advanced undifferentiated pleomorphic sarcoma and dedifferentiated liposarcoma, and plans to engage with the FDA for an expedited path to accelerated approval.</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Basis of Presentation of Unaudited Condensed Consolidated Financial Information</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of the Company for the three and six months ended June 30, 2026 and 2025 have been prepared in accordance with accounting principles generally accepted in the U.S.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2026 or for any other period. The condensed consolidated balance sheet as of December 31, 2025 was derived from the audited consolidated financial statements included in the Company's Annual Report on Form 10-K filed with the U.S. Securities and Exchange Commission (the “SEC”) on February 24, 2026. Beginning in the third quarter of 2025, the Company began separately presenting depreciation and amortization expense on the condensed consolidated statement of operations. Certain prior period amounts reported in the Company’s condensed consolidated financial statements and accompanying notes have been reclassified to conform to the current period’s presentation.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reclassifications did not have an impact on the Company’s previously presented net results of operations, financial position, or cash flows.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2026, the Company had $303.7 million in cash, cash equivalents, short-term investments, and restricted cash ($110.8 million of cash and cash equivalents, $186.9 million in short-term investments, and $6.0 million in restricted cash). The Company has launched its first internally developed commercial product and continues to be engaged in the development of therapeutics to fight cancer, specifically solid tumors. With the approval of the Biologics License Application (“BLA”), the Company began to generate revenue from the sale of its product Amtagvi</w:t>
      </w:r>
      <w:r>
        <w:rPr>
          <w:rFonts w:ascii="Times New Roman;Times;serif" w:hAnsi="Times New Roman;Times;serif"/>
          <w:sz w:val="15"/>
        </w:rPr>
        <w:t>®</w:t>
      </w:r>
      <w:r>
        <w:rPr>
          <w:rFonts w:ascii="Times New Roman;Times;serif" w:hAnsi="Times New Roman;Times;serif"/>
          <w:sz w:val="20"/>
        </w:rPr>
        <w:t xml:space="preserve"> in the second quarter of 2024. Furthermore, following the acquisition of the worldwide rights to Proleukin</w:t>
      </w:r>
      <w:r>
        <w:rPr>
          <w:rFonts w:ascii="Times New Roman;Times;serif" w:hAnsi="Times New Roman;Times;serif"/>
          <w:sz w:val="15"/>
        </w:rPr>
        <w:t>®</w:t>
      </w:r>
      <w:r>
        <w:rPr>
          <w:rFonts w:ascii="Times New Roman;Times;serif" w:hAnsi="Times New Roman;Times;serif"/>
          <w:sz w:val="20"/>
        </w:rPr>
        <w:t xml:space="preserve"> (as discussed below in Note 4 – Intangible Assets, Net) in 2023, the Company began to generate revenue from the sales of Proleukin</w:t>
      </w:r>
      <w:r>
        <w:rPr>
          <w:rFonts w:ascii="Times New Roman;Times;serif" w:hAnsi="Times New Roman;Times;serif"/>
          <w:sz w:val="15"/>
        </w:rPr>
        <w:t>®</w:t>
      </w:r>
      <w:r>
        <w:rPr>
          <w:rFonts w:ascii="Times New Roman;Times;serif" w:hAnsi="Times New Roman;Times;serif"/>
          <w:sz w:val="20"/>
        </w:rPr>
        <w:t>. However, such revenues may not be material enough to generate positive operational cash flows during the 12 months from the date the condensed consolidated financial statements are issued and this Form 10-Q is filed. The Company has incurred a net loss of $126.4 million for the six months ended June 30, 2026, and used $132.9 million of cash in its operating activities during the six months ended June 30, 2026.</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The Company expects to continue to incur significant expenses to support commercial activities for Amtagvi</w:t>
      </w:r>
      <w:r>
        <w:rPr>
          <w:rFonts w:ascii="Times New Roman;Times;serif" w:hAnsi="Times New Roman;Times;serif"/>
          <w:sz w:val="15"/>
        </w:rPr>
        <w:t>®</w:t>
      </w:r>
      <w:r>
        <w:rPr>
          <w:rFonts w:ascii="Times New Roman;Times;serif" w:hAnsi="Times New Roman;Times;serif"/>
          <w:sz w:val="20"/>
        </w:rPr>
        <w:t>, fund ongoing clinical programs, including its NSCLC registrational study, IOV-LUN-202, and its frontline advanced melanoma Phase 3 confirmatory trial, TILVANCE-301, continue the development of its pipeline candidates, and for other general corporate purposes. Based on the funds the Company has available as of the date these condensed consolidated financial statements are issued, the Company believes that it has sufficient capital to fund its anticipated operating expenses and capital expenditures as planned for at least the next twelve months from the date these condensed consolidated financial statements are issued.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Concentrations of Risk</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69" w:name="_Hlk171432730"/>
      <w:bookmarkStart w:id="1270" w:name="_Hlk99026576"/>
      <w:bookmarkEnd w:id="1269"/>
      <w:bookmarkEnd w:id="1270"/>
      <w:r>
        <w:rPr>
          <w:rFonts w:ascii="Times New Roman;Times;serif" w:hAnsi="Times New Roman;Times;serif"/>
          <w:b/>
          <w:sz w:val="20"/>
        </w:rPr>
        <w:t>NOTE 2. SUMMARY OF SIGNIFICANT ACCOUNTING POLICIES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Cash Equivalents, and Investments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and other income, net. No impairment losses related to credit losses were recognized for the three and six months ended June 30, 2026, and 2025. The cost of debt securities is adjusted for the amortization of premiums and accretion of discounts to maturity. Such amortization and accretion are included in Interest and other income, net in the condensed consolidated statements of operations. Gains and losses on securities sold are recorded based on the specific identification method and are included in Interest and other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2026 and December 31, 2025, restricted cash totaled $6.0 million and $6.0 million, respectively. These amounts have been classified as either current or non-current assets in the Company’s condensed consolidated balance sheet based on the maturity date of the underlying letter of credit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bookmarkStart w:id="1271" w:name="Tc_zsWxqvJ9l0OjDWq4SfssmA_5_5"/>
      <w:bookmarkStart w:id="1272" w:name="Tc_Sjjv2_DyDk6ys027iwakTQ_5_2"/>
      <w:bookmarkStart w:id="1273" w:name="Tc_dVVh1B-5TUe0RlTQXVRj4g_5_0"/>
      <w:bookmarkStart w:id="1274" w:name="Tc_oJx55bcJoUqmsN4qr-rBTg_4_0"/>
      <w:bookmarkStart w:id="1275" w:name="Tc_PbeyMbdhGkC1PzsZqKCpGg_3_5"/>
      <w:bookmarkStart w:id="1276" w:name="Tc_dyzHbbimYUKDEgaqt3o0Eg_3_2"/>
      <w:bookmarkStart w:id="1277" w:name="Tc_95V1Sjbq5EasMu7FKX1trw_3_0"/>
      <w:bookmarkStart w:id="1278" w:name="Tc_D23l0RcjwkyxbcRUcOf-0A_2_5"/>
      <w:bookmarkStart w:id="1279" w:name="Tc_b2SVcKU0xEGe_M-wsTozZw_2_2"/>
      <w:bookmarkStart w:id="1280" w:name="Tc_N7w7JWHgoUGgblJXuj4qDQ_1_2"/>
      <w:bookmarkStart w:id="1281" w:name="Tc_EoLeJkJDu0eh4cr2W46oLA_1_0"/>
      <w:bookmarkStart w:id="1282" w:name="_06f9ed0c_aabb_46c7_8de9_a56b88712b5c"/>
      <w:bookmarkEnd w:id="1271"/>
      <w:bookmarkEnd w:id="1272"/>
      <w:bookmarkEnd w:id="1273"/>
      <w:bookmarkEnd w:id="1274"/>
      <w:bookmarkEnd w:id="1275"/>
      <w:bookmarkEnd w:id="1276"/>
      <w:bookmarkEnd w:id="1277"/>
      <w:bookmarkEnd w:id="1278"/>
      <w:bookmarkEnd w:id="1279"/>
      <w:bookmarkEnd w:id="1280"/>
      <w:bookmarkEnd w:id="1281"/>
      <w:bookmarkEnd w:id="1282"/>
      <w:r>
        <w:rPr>
          <w:rFonts w:ascii="Times New Roman;Times;serif" w:hAnsi="Times New Roman;Times;serif"/>
          <w:sz w:val="20"/>
        </w:rPr>
        <w:t xml:space="preserve">The Company maintains a required minimum balance in segregated bank accounts in connection with its letters of credit for which amounts are restricted as to their use by the Company. As of June 30, 2026, the Company’s letters of credit were primarily comprised of a letter of credit for the benefit of the </w:t>
      </w:r>
      <w:r>
        <w:rPr>
          <w:rFonts w:ascii="Times New Roman;Times;serif" w:hAnsi="Times New Roman;Times;serif"/>
          <w:i/>
          <w:sz w:val="20"/>
        </w:rPr>
        <w:t>i</w:t>
      </w:r>
      <w:r>
        <w:rPr>
          <w:rFonts w:ascii="Times New Roman;Times;serif" w:hAnsi="Times New Roman;Times;serif"/>
          <w:sz w:val="20"/>
        </w:rPr>
        <w:t>CTC used as a security deposit for the lease in the amount of $5.45 million.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headquarters lease expires on February 1, 2032, however, it will be automatically extended, without written agreement, for one-year periods to February in each succeeding calendar year.</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tbl>
      <w:tblPr>
        <w:tblW w:w="6490" w:type="dxa"/>
        <w:jc w:val="left"/>
        <w:tblInd w:w="0" w:type="dxa"/>
        <w:tblLayout w:type="fixed"/>
        <w:tblCellMar>
          <w:top w:w="0" w:type="dxa"/>
          <w:left w:w="0" w:type="dxa"/>
          <w:bottom w:w="0" w:type="dxa"/>
          <w:right w:w="0" w:type="dxa"/>
        </w:tblCellMar>
      </w:tblPr>
      <w:tblGrid>
        <w:gridCol w:w="3946"/>
        <w:gridCol w:w="346"/>
        <w:gridCol w:w="211"/>
        <w:gridCol w:w="781"/>
        <w:gridCol w:w="109"/>
        <w:gridCol w:w="211"/>
        <w:gridCol w:w="886"/>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505710" cy="175260"/>
                      <wp:effectExtent l="0" t="0" r="0" b="0"/>
                      <wp:wrapNone/>
                      <wp:docPr id="97" name="Frame97"/>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62610" cy="175260"/>
                      <wp:effectExtent l="0" t="0" r="0" b="0"/>
                      <wp:wrapNone/>
                      <wp:docPr id="103" name="Frame1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 xml:space="preserve">​ </w:t>
            </w:r>
          </w:p>
        </w:tc>
        <w:tc>
          <w:tcPr>
            <w:tcW w:w="346" w:type="dxa"/>
            <w:tcBorders/>
            <w:vAlign w:val="center"/>
          </w:tcPr>
          <w:p>
            <w:pPr>
              <w:pStyle w:val="TableContents"/>
              <w:bidi w:val="0"/>
              <w:spacing w:before="0" w:after="1"/>
              <w:ind w:left="0" w:right="0" w:hanging="0"/>
              <w:jc w:val="center"/>
              <w:rPr/>
            </w:pPr>
            <w:r>
              <w:rPr/>
              <w:t>  ​ ​ ​</w:t>
            </w:r>
          </w:p>
        </w:tc>
        <w:tc>
          <w:tcPr>
            <w:tcW w:w="21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132,469</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5,944</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116,773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138,413</w:t>
            </w:r>
          </w:p>
        </w:tc>
      </w:tr>
    </w:tbl>
    <w:p>
      <w:pPr>
        <w:pStyle w:val="TextBody"/>
        <w:bidi w:val="0"/>
        <w:spacing w:before="0" w:after="20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 Acquisitions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evaluates acquisitions of assets using the guidance in Accounting Standard Codification (“ASC”) Topic 805, </w:t>
      </w:r>
      <w:r>
        <w:rPr>
          <w:rFonts w:ascii="Times New Roman;Times;serif" w:hAnsi="Times New Roman;Times;serif"/>
          <w:i/>
          <w:sz w:val="20"/>
        </w:rPr>
        <w:t>Business Combinations</w:t>
      </w:r>
      <w:r>
        <w:rPr>
          <w:rFonts w:ascii="Times New Roman;Times;serif" w:hAnsi="Times New Roman;Times;serif"/>
          <w:sz w:val="20"/>
        </w:rPr>
        <w:t xml:space="preserve"> (“ASC 805”), to determine whether the transaction should be accounted for as a business combination or asset 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Deferred tax liabilities arising from basis differences in assets acquired are calculated using the simultaneous equations method under ASC Topic 740, </w:t>
      </w:r>
      <w:r>
        <w:rPr>
          <w:rFonts w:ascii="Times New Roman;Times;serif" w:hAnsi="Times New Roman;Times;serif"/>
          <w:i/>
          <w:sz w:val="20"/>
        </w:rPr>
        <w:t>Income Taxes</w:t>
      </w:r>
      <w:r>
        <w:rPr>
          <w:rFonts w:ascii="Times New Roman;Times;serif" w:hAnsi="Times New Roman;Times;serif"/>
          <w:sz w:val="20"/>
        </w:rPr>
        <w:t xml:space="preserve"> (“ASC 740”), and based on the effective tax rate. The resulting deferred tax liability is recorded in the condensed consolidated balance sheet as of June 30, 2026 and December 31, 2025.</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Contingent consideration in the scope of ASC Topic 815, </w:t>
      </w:r>
      <w:r>
        <w:rPr>
          <w:rFonts w:ascii="Times New Roman;Times;serif" w:hAnsi="Times New Roman;Times;serif"/>
          <w:i/>
          <w:sz w:val="20"/>
        </w:rPr>
        <w:t>Derivatives and Hedging</w:t>
      </w:r>
      <w:r>
        <w:rPr>
          <w:rFonts w:ascii="Times New Roman;Times;serif" w:hAnsi="Times New Roman;Times;serif"/>
          <w:sz w:val="20"/>
        </w:rPr>
        <w:t xml:space="preserve"> (“ASC 815”), is included in the cost of the asset acquisition at its acquisition date fair value. Contingent consideration in the scope of ASC Topic 450, </w:t>
      </w:r>
      <w:r>
        <w:rPr>
          <w:rFonts w:ascii="Times New Roman;Times;serif" w:hAnsi="Times New Roman;Times;serif"/>
          <w:i/>
          <w:sz w:val="20"/>
        </w:rPr>
        <w:t>Contingencies</w:t>
      </w:r>
      <w:r>
        <w:rPr>
          <w:rFonts w:ascii="Times New Roman;Times;serif" w:hAnsi="Times New Roman;Times;serif"/>
          <w:sz w:val="20"/>
        </w:rPr>
        <w:t xml:space="preserve"> (“ASC 450”), is recognized when it is both probable and reasonably estimable.</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Inventory and Cost of Sales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Inventory is stated at the lower of cost or net realizable value on a first-in, first-out basis. Cost includes amounts related to materials, internal labor, costs of external manufacturing, and overhead. Net realizable value is the estimated selling price in the ordinary course of business less reasonably predictable costs of completion, disposal and transportation. Inventoriable c</w:t>
      </w:r>
      <w:r>
        <w:rPr>
          <w:rFonts w:ascii="Times New Roman;Times;serif" w:hAnsi="Times New Roman;Times;serif"/>
          <w:sz w:val="20"/>
          <w:shd w:fill="FFFFFF" w:val="clear"/>
        </w:rPr>
        <w:t>osts incurred, such as manufacturing costs incurred prior to regulatory approval that did not qualify for capitalization and clinical manufacturing costs, are expensed as incurred as research and development expenses.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Upon the February 2024 approval of Amtagvi</w:t>
      </w:r>
      <w:r>
        <w:rPr>
          <w:rFonts w:ascii="Times New Roman;Times;serif" w:hAnsi="Times New Roman;Times;serif"/>
          <w:sz w:val="15"/>
        </w:rPr>
        <w:t>®</w:t>
      </w:r>
      <w:r>
        <w:rPr>
          <w:rFonts w:ascii="Times New Roman;Times;serif" w:hAnsi="Times New Roman;Times;serif"/>
          <w:sz w:val="20"/>
        </w:rPr>
        <w:t>, the Company began capitalizing inventory and manufacturing costs for the commercial manufacturing of Amtagvi</w:t>
      </w:r>
      <w:r>
        <w:rPr>
          <w:rFonts w:ascii="Times New Roman;Times;serif" w:hAnsi="Times New Roman;Times;serif"/>
          <w:sz w:val="15"/>
        </w:rPr>
        <w:t>®</w:t>
      </w:r>
      <w:r>
        <w:rPr>
          <w:rFonts w:ascii="Times New Roman;Times;serif" w:hAnsi="Times New Roman;Times;serif"/>
          <w:sz w:val="20"/>
        </w:rPr>
        <w:t xml:space="preserve">. Additionally, inventory that initially qualifies for capitalization but that may ultimately be used for the production of clinical drug product or utilized in research and development programs is expensed as research and development expense when it has been designated for the manufacture of clinical drug product or use in research and development activities.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periodically reviews inventory for excess and obsolescence, considering factors such as its most recent sales and manufacturing forecast compared to quantities on hand and the expiration date of the product and materials. The Company adjusts its inventory that is obsolete or otherwise unmarketable to its estimated net realizable value in the period in which the impairment is first identified. Any such adjustments are included as a component of cost of sales within the Company’s condensed consolidated statements of operations.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Cost of sales includes inventory and period costs related to overhead and manufacturing costs of Amtagvi</w:t>
      </w:r>
      <w:r>
        <w:rPr>
          <w:rFonts w:ascii="Times New Roman;Times;serif" w:hAnsi="Times New Roman;Times;serif"/>
          <w:sz w:val="15"/>
        </w:rPr>
        <w:t>®</w:t>
      </w:r>
      <w:r>
        <w:rPr>
          <w:rFonts w:ascii="Times New Roman;Times;serif" w:hAnsi="Times New Roman;Times;serif"/>
          <w:sz w:val="20"/>
        </w:rPr>
        <w:t>, as well as the cost of inventories and other costs that are directly associated with the purchase and sales of Proleukin</w:t>
      </w:r>
      <w:r>
        <w:rPr>
          <w:rFonts w:ascii="Times New Roman;Times;serif" w:hAnsi="Times New Roman;Times;serif"/>
          <w:sz w:val="15"/>
        </w:rPr>
        <w:t>®</w:t>
      </w:r>
      <w:r>
        <w:rPr>
          <w:rFonts w:ascii="Times New Roman;Times;serif" w:hAnsi="Times New Roman;Times;serif"/>
          <w:sz w:val="20"/>
        </w:rPr>
        <w:t>. In addition, cost of sales in the Company’s condensed consolidated statements of operations includes royalties payable on sales of its products.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During the Company’s commercial manufacturing process, certain Amtagvi</w:t>
      </w:r>
      <w:r>
        <w:rPr>
          <w:rFonts w:ascii="Times New Roman;Times;serif" w:hAnsi="Times New Roman;Times;serif"/>
          <w:sz w:val="15"/>
        </w:rPr>
        <w:t>®</w:t>
      </w:r>
      <w:r>
        <w:rPr>
          <w:rFonts w:ascii="Times New Roman;Times;serif" w:hAnsi="Times New Roman;Times;serif"/>
          <w:sz w:val="20"/>
        </w:rPr>
        <w:t xml:space="preserve"> product may become out-of-specification, meaning they fall outside commercial specifications. This out-of-specification product can still be utilized by patients in a clinical trial, an expanded or early access program, or single-patient investigational new drug, at which point the costs associated with these batches are classified as research and development expense based on the fact that the Company receives clinical data related to these infusions.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Trade Accounts Receivable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credit losses is not required.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Intangible Assets </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acquired intangible assets are initially measured based on an allocation of the cost of the acquisition to the assets acquired on a relative fair value basis and are recorded net of accumulated amortization, while intangible assets recorded as the result of milestone or license payments are recorded at the amount paid. The Company amortizes the intangible assets on a straight-line basis over their estimated useful lives.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June 30, 2026 or December 31, 2025.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determines if an arrangement includes a lease at inception and thereafter, if modified. Operating leases are included in its condensed consolidated balance sheets as operating lease right-of-use assets and operating lease liabilities as of June 30, 2026 and December 31, 2025.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lease agreements entered into by the Company that include lease and non-lease components, such components are generally accounted for separately.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recognizes revenue from product sales in accordance with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 xml:space="preserve">(“ASC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w:t>
      </w:r>
      <w:r>
        <w:rPr>
          <w:rFonts w:ascii="Times New Roman;Times;serif" w:hAnsi="Times New Roman;Times;serif"/>
          <w:sz w:val="15"/>
        </w:rPr>
        <w:t>®</w:t>
      </w:r>
      <w:r>
        <w:rPr>
          <w:rFonts w:ascii="Times New Roman;Times;serif" w:hAnsi="Times New Roman;Times;serif"/>
          <w:sz w:val="20"/>
        </w:rPr>
        <w:t xml:space="preserve">, transfer of control occurs either upon shipment or upon receipt of the product after considering when the customer obtains legal title to the product. Revenue is measured as the amount of consideration the Company expects to receive in exchange for transferring its products and is generally based on a list of fixed prices less allowances for chargebacks, product returns, rebates and discounts. The Company’s payment terms to customers range from 45 to 105 days; payment terms differ by customer and by product.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Revenue is reduced at the time of recognition for expected chargebacks, product returns, discounts, rebates, and sales allowances, collectively referred to as gross to net adjustments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Judgment is required in estimating GTN adjustments considering legal interpretations of applicable laws and regulations, historical experience, payer channel mix, current contract prices under applicable programs, processing time lags and inventory levels in the distribution channel.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Indirect taxes collected from customers and remitted to government authorities that are related to sales of the Company’s products, primarily in Europe, are excluded from revenues.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Accrued Research and Development Costs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The Company determines its costs through discussions with internal clinical stakeholders and outside service providers as to the progress or stage of completion of clinical trials or services and the contracted fee to be paid for such services.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Included in the Company’s clinical development costs are investigator costs, which are costs associated with treatments administered at clinical sites as required under each clinical trial protocol. The Company’s determination of clinical investigator costs and related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procedures that may be administered by investigators as a result of patient health status, recoverability of patient costs through insurance carriers of patients, and unanticipated cost of injuries incurred as a result of the clinical trial treatment. The Company accrues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capitalized in inventory or included in research and development expenses.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 </w:t>
        <w:b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Restructuring Charges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Restructuring charges consist primarily of employee severance payments and other postemployment benefit related expenses. The Company records restructuring charges based on whether the termination benefits are provided under an on-going benefit arrangement or under a one-time benefit arrangement. The Company recognizes charges related to restructuring plans when the liabilities have been incurred and can be reasonably estimated.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1283" w:name="_278ecf15_3931_46a3_89f0_21af8571fd56"/>
      <w:bookmarkStart w:id="1284" w:name="Tc_A-QYQ7jcM06V4HuXavUviw_7_0"/>
      <w:bookmarkStart w:id="1285" w:name="Tc_nE9aQGaq3kiJ9mzAAgo_SA_6_0"/>
      <w:bookmarkStart w:id="1286" w:name="Tc_TpWEUzsrZEO_H8cehAnD8g_5_0"/>
      <w:bookmarkStart w:id="1287" w:name="Tc_CXP-3qJlqk6nceSI7rTx0A_4_0"/>
      <w:bookmarkStart w:id="1288" w:name="Tc_cxrtrDpNuE2jQVe_t9lf-g_3_0"/>
      <w:bookmarkStart w:id="1289" w:name="Tc_ocvopcndb0S0IQFHMsJBVg_2_4"/>
      <w:bookmarkStart w:id="1290" w:name="Tc_TWTFITsCBEq_6S8pMi_wig_2_2"/>
      <w:bookmarkStart w:id="1291" w:name="Tc_tCPRZQkaHk6bG-YFO_ofDg_1_2"/>
      <w:bookmarkStart w:id="1292" w:name="_6c42b869_f5c9_40bd_a01a_4d720dcea47b"/>
      <w:bookmarkEnd w:id="1283"/>
      <w:bookmarkEnd w:id="1284"/>
      <w:bookmarkEnd w:id="1285"/>
      <w:bookmarkEnd w:id="1286"/>
      <w:bookmarkEnd w:id="1287"/>
      <w:bookmarkEnd w:id="1288"/>
      <w:bookmarkEnd w:id="1289"/>
      <w:bookmarkEnd w:id="1290"/>
      <w:bookmarkEnd w:id="1291"/>
      <w:bookmarkEnd w:id="1292"/>
      <w:r>
        <w:rPr>
          <w:rFonts w:ascii="Times New Roman;Times;serif" w:hAnsi="Times New Roman;Times;serif"/>
          <w:b/>
          <w:i/>
          <w:sz w:val="20"/>
        </w:rPr>
        <w:t>Net Loss per Share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Basic net loss per share is computed by dividing the net loss by the weighted average number of common shares outstanding during the period.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Diluted net loss per share is computed by dividing the net loss by the sum of the weighted average number of shares of common stock outstanding and the dilutive common stock equivalent outstanding during the period. The Company’s potentially dilutive common stock equivalent shares, which include incremental common shares issuable upon (i) the exercise of outstanding stock options, (ii) purchases through the 2020 Employee Stock Purchase Plan (the “2020 ESPP”), (iii) vesting of restricted stock units, and (iv) conversion of preferred stock, are only included in the calculation of diluted net loss per share when their effect is dilutive.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As of June 30, 2026 and 2025, the following outstanding common stock equivalents have been excluded from the calculation of net loss per share because their impact would be anti-dilutive:</w:t>
      </w:r>
    </w:p>
    <w:p>
      <w:pPr>
        <w:pStyle w:val="TextBody"/>
        <w:bidi w:val="0"/>
        <w:spacing w:before="0" w:after="200"/>
        <w:ind w:left="0" w:right="0" w:firstLine="547"/>
        <w:jc w:val="left"/>
        <w:rPr/>
      </w:pPr>
      <w:r>
        <w:rPr/>
        <w:t>​</w:t>
      </w:r>
    </w:p>
    <w:tbl>
      <w:tblPr>
        <w:tblW w:w="6050" w:type="dxa"/>
        <w:jc w:val="left"/>
        <w:tblInd w:w="0" w:type="dxa"/>
        <w:tblLayout w:type="fixed"/>
        <w:tblCellMar>
          <w:top w:w="0" w:type="dxa"/>
          <w:left w:w="0" w:type="dxa"/>
          <w:bottom w:w="0" w:type="dxa"/>
          <w:right w:w="0" w:type="dxa"/>
        </w:tblCellMar>
      </w:tblPr>
      <w:tblGrid>
        <w:gridCol w:w="3181"/>
        <w:gridCol w:w="346"/>
        <w:gridCol w:w="1036"/>
        <w:gridCol w:w="346"/>
        <w:gridCol w:w="114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19935" cy="175260"/>
                      <wp:effectExtent l="0" t="0" r="0" b="0"/>
                      <wp:wrapNone/>
                      <wp:docPr id="104" name="Frame10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57860" cy="175260"/>
                      <wp:effectExtent l="0" t="0" r="0" b="0"/>
                      <wp:wrapNone/>
                      <wp:docPr id="106" name="Frame1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724535" cy="175260"/>
                      <wp:effectExtent l="0" t="0" r="0" b="0"/>
                      <wp:wrapNone/>
                      <wp:docPr id="108" name="Frame1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17,566,321</w:t>
            </w:r>
          </w:p>
        </w:tc>
        <w:tc>
          <w:tcPr>
            <w:tcW w:w="346" w:type="dxa"/>
            <w:tcBorders/>
            <w:shd w:fill="CCEEFF" w:val="clear"/>
            <w:vAlign w:val="center"/>
          </w:tcPr>
          <w:p>
            <w:pPr>
              <w:pStyle w:val="TableContents"/>
              <w:bidi w:val="0"/>
              <w:spacing w:before="0" w:after="1"/>
              <w:ind w:left="0" w:right="0" w:hanging="0"/>
              <w:jc w:val="left"/>
              <w:rPr>
                <w:color w:val="0000FF"/>
              </w:rPr>
            </w:pPr>
            <w:r>
              <w:rPr>
                <w:color w:val="0000FF"/>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18,994,381</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12,711,528</w:t>
            </w:r>
          </w:p>
        </w:tc>
        <w:tc>
          <w:tcPr>
            <w:tcW w:w="346" w:type="dxa"/>
            <w:tcBorders/>
            <w:vAlign w:val="center"/>
          </w:tcPr>
          <w:p>
            <w:pPr>
              <w:pStyle w:val="TableContents"/>
              <w:bidi w:val="0"/>
              <w:spacing w:before="0" w:after="1"/>
              <w:ind w:left="0" w:right="0" w:hanging="0"/>
              <w:jc w:val="left"/>
              <w:rPr>
                <w:color w:val="0000FF"/>
              </w:rPr>
            </w:pPr>
            <w:r>
              <w:rPr>
                <w:color w:val="0000FF"/>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11,411,549</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423,360</w:t>
            </w:r>
          </w:p>
        </w:tc>
        <w:tc>
          <w:tcPr>
            <w:tcW w:w="34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570,824</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Convertible Preferred Stock*</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c>
          <w:tcPr>
            <w:tcW w:w="346" w:type="dxa"/>
            <w:tcBorders/>
            <w:vAlign w:val="center"/>
          </w:tcPr>
          <w:p>
            <w:pPr>
              <w:pStyle w:val="TableContents"/>
              <w:bidi w:val="0"/>
              <w:spacing w:before="0" w:after="1"/>
              <w:ind w:left="0" w:right="0" w:hanging="0"/>
              <w:jc w:val="left"/>
              <w:rPr>
                <w:color w:val="0000FF"/>
              </w:rPr>
            </w:pPr>
            <w:r>
              <w:rPr>
                <w:color w:val="0000FF"/>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 Convertible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1,932,667</w:t>
            </w:r>
          </w:p>
        </w:tc>
        <w:tc>
          <w:tcPr>
            <w:tcW w:w="346" w:type="dxa"/>
            <w:tcBorders/>
            <w:shd w:fill="CCEEFF" w:val="clear"/>
            <w:vAlign w:val="center"/>
          </w:tcPr>
          <w:p>
            <w:pPr>
              <w:pStyle w:val="TableContents"/>
              <w:bidi w:val="0"/>
              <w:spacing w:before="0" w:after="1"/>
              <w:ind w:left="0" w:right="0" w:hanging="0"/>
              <w:jc w:val="left"/>
              <w:rPr>
                <w:color w:val="0000FF"/>
              </w:rPr>
            </w:pPr>
            <w:r>
              <w:rPr>
                <w:color w:val="0000FF"/>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1,932,667</w:t>
            </w:r>
          </w:p>
        </w:tc>
      </w:tr>
      <w:tr>
        <w:trPr/>
        <w:tc>
          <w:tcPr>
            <w:tcW w:w="31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32,730,876</w:t>
            </w:r>
          </w:p>
        </w:tc>
        <w:tc>
          <w:tcPr>
            <w:tcW w:w="346" w:type="dxa"/>
            <w:tcBorders/>
            <w:vAlign w:val="center"/>
          </w:tcPr>
          <w:p>
            <w:pPr>
              <w:pStyle w:val="TableContents"/>
              <w:bidi w:val="0"/>
              <w:spacing w:before="0" w:after="1"/>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33,006,421</w:t>
            </w:r>
          </w:p>
        </w:tc>
      </w:tr>
    </w:tbl>
    <w:p>
      <w:pPr>
        <w:pStyle w:val="TextBody"/>
        <w:bidi w:val="0"/>
        <w:spacing w:before="0" w:after="200"/>
        <w:ind w:left="547" w:right="0" w:hanging="0"/>
        <w:jc w:val="left"/>
        <w:rPr>
          <w:rFonts w:ascii="Times New Roman;Times;serif" w:hAnsi="Times New Roman;Times;serif"/>
          <w:b w:val="false"/>
          <w:i/>
          <w:sz w:val="20"/>
        </w:rPr>
      </w:pPr>
      <w:r>
        <w:rPr>
          <w:rFonts w:ascii="Times New Roman;Times;serif" w:hAnsi="Times New Roman;Times;serif"/>
          <w:b w:val="false"/>
          <w:i/>
          <w:sz w:val="20"/>
        </w:rPr>
        <w:t>* on an as-converted basis. (See Note 9 – Stockholders’ Equity)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00"/>
        <w:ind w:left="0" w:right="0" w:firstLine="5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00"/>
        <w:ind w:left="0" w:right="0" w:firstLine="5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condensed consolidated financial statements include the accounts of Iovance Biotherapeutics, Inc. and its wholly-owned subsidiaries, Iovance Biotherapeutics Manufacturing LLC, Iovance Biotherapeutics GmbH, Iovance Biotherapeutics B.V., Iovance Biotherapeutics UK Ltd, Iovance Biotherapeutics UK SP Ltd, Iovance Biotherapeutics Canada, Inc., and Iovance Australia Pty Ltd. All intercompany accounts and transactions have been eliminated.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Beginning in the third quarter of 2025, the Company began separately presenting depreciation and amortization expense on the consolidated statement of operations. Certain prior period amounts reported in the Company’s consolidated financial statements and accompanying notes have been reclassified to conform to the current period’s presentation. These reclassifications did not have an impact on the Company’s previously presented net results of operations, financial position, or cash flows.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00"/>
        <w:ind w:left="0" w:right="0" w:firstLine="547"/>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condensed consolidated financial statements are presented in U.S. dollars, which is the Company’s reporting currency. 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loss in the condensed consolidated balance sheets. The subsidiaries’ net loss is translated into U.S. dollars by using the average exchange rate for the applicable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operates in one segment, focused on innovating, developing and commercializing therapies using autologous TIL for patients with solid tumor cancers. See Note 10 – Segment Information for details.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which requires the disaggregation of certain expense captions into specified categories in disclosures within the notes to the 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2024-03 or retrospectively to any or all prior periods presented in the financial statements. The Company is currently evaluating the impact of adopting ASU 2024-03.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July 2025, the FASB issued ASU 2025-05, Financial Instruments—Credit Losses (Topic 326) Measurement of Credit Losses for Accounts Receivable and Contract Assets, which amends ASC 326 and provides a practical expedient to assume that current conditions as of the balance sheet date will persist through a reasonable and supportable forecast period when estimating credit losses for current accounts receivable and current contract assets. Entities will still be required to adjust historical data used in the estimation to reflect current conditions. ASU 2025-05 is effective for all entities for annual reporting periods beginning after December 15, 2025, and interim periods within those annual reporting periods. The Company adopted ASU 2025-05 during the quarter ended March 31, 2026, and the adoption did not have a material impact on the Company's condensed consolidated financial statements as of and for the three and six months ended June 30, 2026.</w:t>
      </w:r>
    </w:p>
    <w:p>
      <w:pPr>
        <w:pStyle w:val="TextBody"/>
        <w:bidi w:val="0"/>
        <w:spacing w:before="0" w:after="200"/>
        <w:ind w:left="0" w:right="0" w:hanging="0"/>
        <w:jc w:val="left"/>
        <w:rPr>
          <w:rFonts w:ascii="Times New Roman;Times;serif" w:hAnsi="Times New Roman;Times;serif"/>
          <w:b/>
          <w:sz w:val="20"/>
        </w:rPr>
      </w:pPr>
      <w:bookmarkStart w:id="1293" w:name="Tc_sgmkfIbZHEaMn7gvSDSotg_5_5"/>
      <w:bookmarkStart w:id="1294" w:name="Tc_ABdZPOGwX0OvkipFg2ft_w_5_2"/>
      <w:bookmarkStart w:id="1295" w:name="Tc_sbacLOOEs0KluQtKC_JMTw_5_0"/>
      <w:bookmarkStart w:id="1296" w:name="Tc_bUmzYKWkfkOEUXarO2pYeA_4_0"/>
      <w:bookmarkStart w:id="1297" w:name="Tc_FMiKDdhYD0m6jw337meGSw_3_5"/>
      <w:bookmarkStart w:id="1298" w:name="Tc_LsaDJv4bD0a9nEPSv1QQqQ_3_2"/>
      <w:bookmarkStart w:id="1299" w:name="Tc_9bgupRiel0ysAccGKb928Q_3_0"/>
      <w:bookmarkStart w:id="1300" w:name="Tc_EEilbaDKN0uyRcRUHJj-iw_2_5"/>
      <w:bookmarkStart w:id="1301" w:name="Tc_bHE9M_SBoka7KRXs0Ji2Fg_2_2"/>
      <w:bookmarkStart w:id="1302" w:name="Tc_xJGOt85Iz0Ov5LrwtUt3Qw_2_0"/>
      <w:bookmarkStart w:id="1303" w:name="Tc_IfXtkjm7hUyBJkHpFU5dZQ_1_5"/>
      <w:bookmarkStart w:id="1304" w:name="Tc_3mYu0Q5E70uM1CPLisO6zQ_1_2"/>
      <w:bookmarkStart w:id="1305" w:name="_6204f270_1533_4746_8b69_a4122079a649"/>
      <w:bookmarkStart w:id="1306" w:name="Tc_iuXseSjhvkGD31OL4xYUaQ_6_11"/>
      <w:bookmarkStart w:id="1307" w:name="Tc_4uYeNHlwTEKB3AEf3o8Fww_6_9"/>
      <w:bookmarkStart w:id="1308" w:name="Tc_jiWsP6NaG022uVtLwnQfkg_6_8"/>
      <w:bookmarkStart w:id="1309" w:name="Tc_Aee86wpNakGBtU79pEkIqA_6_5"/>
      <w:bookmarkStart w:id="1310" w:name="Tc_NvwUIYU4wUq0Zll68DWo8w_6_2"/>
      <w:bookmarkStart w:id="1311" w:name="Tc_vaLxpnDcxEyNzptRSR2_OQ_6_0"/>
      <w:bookmarkStart w:id="1312" w:name="Tc_mQp6Gy6cHE-2WVxh6xnctQ_5_9"/>
      <w:bookmarkStart w:id="1313" w:name="Tc_2LxemLkxU0qo5z3u2FBUmg_5_6"/>
      <w:bookmarkStart w:id="1314" w:name="Tc_hz3NTq9-LEGY4w_U0f4NMg_5_0"/>
      <w:bookmarkStart w:id="1315" w:name="Tc_dPuyXn2jfUGJ-EKkCPviZA_4_11"/>
      <w:bookmarkStart w:id="1316" w:name="Tc_EfpKk-DGb0-q914vV46Nag_4_9"/>
      <w:bookmarkStart w:id="1317" w:name="Tc_q7tF3pUUB06xP0kYAsrA8g_4_8"/>
      <w:bookmarkStart w:id="1318" w:name="Tc_DkM_TMVisUOX-1mXV8wDVg_4_5"/>
      <w:bookmarkStart w:id="1319" w:name="Tc_3ZLTyI-pqEmK72foMw544Q_4_2"/>
      <w:bookmarkStart w:id="1320" w:name="Tc_PXxYInmJU0OzaibDyCvxtw_4_0"/>
      <w:bookmarkStart w:id="1321" w:name="Tc_r-TmzhrDE0KFa9c4BJd48g_3_11"/>
      <w:bookmarkStart w:id="1322" w:name="Tc_-0R1R5GRLk2enphDcxyXBA_3_8"/>
      <w:bookmarkStart w:id="1323" w:name="Tc_-bTMwBf5V02XAqWPFLhA0g_3_5"/>
      <w:bookmarkStart w:id="1324" w:name="Tc__-5CmLge9E-KDHpzDVbDJg_3_2"/>
      <w:bookmarkStart w:id="1325" w:name="Tc_4qQmoYz9lE-re1EorLmNNw_3_0"/>
      <w:bookmarkStart w:id="1326" w:name="Tc_luSxXieee0uAQt6tP1_XTw_2_8"/>
      <w:bookmarkStart w:id="1327" w:name="Tc_NhOjCHemm0WTo1Q1JpFkcA_2_5"/>
      <w:bookmarkStart w:id="1328" w:name="Tc_TCjY9BjYeUqtMkUoFAeF7g_2_2"/>
      <w:bookmarkStart w:id="1329" w:name="Tc_L-zFMjj-YESWzDcEjulw_g_1_8"/>
      <w:bookmarkStart w:id="1330" w:name="Tc_iIvKlbeXVUi3kdBImhcmIQ_1_5"/>
      <w:bookmarkStart w:id="1331" w:name="_50e9a77a_9031_4d6e_9c23_dd8f453103c8"/>
      <w:bookmarkStart w:id="1332" w:name="Tc_UeNQsWgY1k2W8FGPECG9yg_6_11"/>
      <w:bookmarkStart w:id="1333" w:name="Tc_er_XKS7da0WF--vXJFmHIg_6_8"/>
      <w:bookmarkStart w:id="1334" w:name="Tc_S-zLn_1Ug0uBsW8e9v5B4g_6_6"/>
      <w:bookmarkStart w:id="1335" w:name="Tc_aQiN5cQ5FUyvwV7VNeNFbQ_6_5"/>
      <w:bookmarkStart w:id="1336" w:name="Tc_TCPRGnlV0ESy3oPSVuHgvQ_6_2"/>
      <w:bookmarkStart w:id="1337" w:name="Tc_b4NlwbWMOUuHL9B57q05rA_6_0"/>
      <w:bookmarkStart w:id="1338" w:name="Tc_YbeTSjIQ3kOoGflcIRA7QA_5_9"/>
      <w:bookmarkStart w:id="1339" w:name="Tc_JxLdn-8GrkiqMT8mGjoX1Q_5_6"/>
      <w:bookmarkStart w:id="1340" w:name="Tc_JtndjKWVdEGlj618dR8SdA_5_0"/>
      <w:bookmarkStart w:id="1341" w:name="Tc_qOipcCLcQECw5o9FwgB8xg_4_11"/>
      <w:bookmarkStart w:id="1342" w:name="Tc_-tKUDXO0X0-9uIq7bUaU9g_4_8"/>
      <w:bookmarkStart w:id="1343" w:name="Tc_ZpInd2eedEGtkUB1ZOcDwA_4_6"/>
      <w:bookmarkStart w:id="1344" w:name="Tc_MiDVhl1heEWzZ0iOYb6YBA_4_5"/>
      <w:bookmarkStart w:id="1345" w:name="Tc_hlhIycH750y3QePFZHtZ1Q_4_2"/>
      <w:bookmarkStart w:id="1346" w:name="Tc_h4YhDDDMKEmWofaDTyBisg_4_0"/>
      <w:bookmarkStart w:id="1347" w:name="Tc_ceG1UX86Lk-KFVOE5weWAg_3_11"/>
      <w:bookmarkStart w:id="1348" w:name="Tc_wc6Gf0mlt0OFdox9eQbsmg_3_8"/>
      <w:bookmarkStart w:id="1349" w:name="Tc_QNd0NSe6h0COR6wWFuxTzg_3_5"/>
      <w:bookmarkStart w:id="1350" w:name="Tc_P9dKXE6ZhEGPyKWOrY3ZqA_3_2"/>
      <w:bookmarkStart w:id="1351" w:name="Tc_i8rg8M2oB0quEYCmtsjzKA_3_0"/>
      <w:bookmarkStart w:id="1352" w:name="Tc_UQ8kRM2dM0iILUQ2szWOig_2_8"/>
      <w:bookmarkStart w:id="1353" w:name="Tc_UcZ4aQWsb0iZ-Hs8a9cvWw_2_5"/>
      <w:bookmarkStart w:id="1354" w:name="Tc_VzQQPZgZy0-Sam5t9KkyQA_2_2"/>
      <w:bookmarkStart w:id="1355" w:name="Tc_Bu8WMm6TMkS2Et1pYi80Ow_1_8"/>
      <w:bookmarkStart w:id="1356" w:name="Tc_Ogm_ccKn8EOc_vK1MgG7sg_1_5"/>
      <w:bookmarkStart w:id="1357" w:name="_1db2213e_942b_4f71_a994_32ac3d638c68"/>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b/>
          <w:sz w:val="20"/>
        </w:rPr>
        <w:t xml:space="preserve">NOTE 3. CASH EQUIVALENTS AND INVESTMENTS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amortized cost and fair value of cash equivalents and investments as of June 30, 2026 and December 31, 2025 were as follows (in thousands):</w:t>
      </w:r>
    </w:p>
    <w:p>
      <w:pPr>
        <w:pStyle w:val="TextBody"/>
        <w:bidi w:val="0"/>
        <w:spacing w:before="0" w:after="200"/>
        <w:ind w:left="0" w:right="0" w:firstLine="547"/>
        <w:jc w:val="left"/>
        <w:rPr/>
      </w:pPr>
      <w:r>
        <w:rPr/>
        <w:t>​</w:t>
      </w:r>
    </w:p>
    <w:tbl>
      <w:tblPr>
        <w:tblW w:w="6834" w:type="dxa"/>
        <w:jc w:val="left"/>
        <w:tblInd w:w="0" w:type="dxa"/>
        <w:tblLayout w:type="fixed"/>
        <w:tblCellMar>
          <w:top w:w="0" w:type="dxa"/>
          <w:left w:w="0" w:type="dxa"/>
          <w:bottom w:w="0" w:type="dxa"/>
          <w:right w:w="0" w:type="dxa"/>
        </w:tblCellMar>
      </w:tblPr>
      <w:tblGrid>
        <w:gridCol w:w="1771"/>
        <w:gridCol w:w="346"/>
        <w:gridCol w:w="202"/>
        <w:gridCol w:w="713"/>
        <w:gridCol w:w="346"/>
        <w:gridCol w:w="320"/>
        <w:gridCol w:w="566"/>
        <w:gridCol w:w="346"/>
        <w:gridCol w:w="320"/>
        <w:gridCol w:w="566"/>
        <w:gridCol w:w="346"/>
        <w:gridCol w:w="196"/>
        <w:gridCol w:w="79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124585" cy="175260"/>
                      <wp:effectExtent l="0" t="0" r="0" b="0"/>
                      <wp:wrapNone/>
                      <wp:docPr id="109" name="Frame109"/>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8270" cy="175260"/>
                      <wp:effectExtent l="0" t="0" r="0" b="0"/>
                      <wp:wrapNone/>
                      <wp:docPr id="111" name="Frame111"/>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2755" cy="175260"/>
                      <wp:effectExtent l="0" t="0" r="0" b="0"/>
                      <wp:wrapNone/>
                      <wp:docPr id="112" name="Frame112"/>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3200" cy="175260"/>
                      <wp:effectExtent l="0" t="0" r="0" b="0"/>
                      <wp:wrapNone/>
                      <wp:docPr id="114" name="Frame11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59410" cy="175260"/>
                      <wp:effectExtent l="0" t="0" r="0" b="0"/>
                      <wp:wrapNone/>
                      <wp:docPr id="115" name="Frame11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3200" cy="175260"/>
                      <wp:effectExtent l="0" t="0" r="0" b="0"/>
                      <wp:wrapNone/>
                      <wp:docPr id="117" name="Frame11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59410" cy="175260"/>
                      <wp:effectExtent l="0" t="0" r="0" b="0"/>
                      <wp:wrapNone/>
                      <wp:docPr id="118" name="Frame118"/>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24460" cy="175260"/>
                      <wp:effectExtent l="0" t="0" r="0" b="0"/>
                      <wp:wrapNone/>
                      <wp:docPr id="120" name="Frame1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05460" cy="175260"/>
                      <wp:effectExtent l="0" t="0" r="0" b="0"/>
                      <wp:wrapNone/>
                      <wp:docPr id="121" name="Frame12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7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186,980</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186,906</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61,130</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61,130</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248,110</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248,036</w:t>
            </w:r>
          </w:p>
        </w:tc>
      </w:tr>
    </w:tbl>
    <w:p>
      <w:pPr>
        <w:pStyle w:val="TextBody"/>
        <w:bidi w:val="0"/>
        <w:spacing w:before="0" w:after="200"/>
        <w:ind w:left="0" w:right="0" w:hanging="0"/>
        <w:jc w:val="left"/>
        <w:rPr/>
      </w:pPr>
      <w:r>
        <w:rPr/>
        <w:t>​</w:t>
      </w:r>
    </w:p>
    <w:tbl>
      <w:tblPr>
        <w:tblW w:w="6999" w:type="dxa"/>
        <w:jc w:val="left"/>
        <w:tblInd w:w="0" w:type="dxa"/>
        <w:tblLayout w:type="fixed"/>
        <w:tblCellMar>
          <w:top w:w="0" w:type="dxa"/>
          <w:left w:w="0" w:type="dxa"/>
          <w:bottom w:w="0" w:type="dxa"/>
          <w:right w:w="0" w:type="dxa"/>
        </w:tblCellMar>
      </w:tblPr>
      <w:tblGrid>
        <w:gridCol w:w="1936"/>
        <w:gridCol w:w="346"/>
        <w:gridCol w:w="202"/>
        <w:gridCol w:w="713"/>
        <w:gridCol w:w="346"/>
        <w:gridCol w:w="320"/>
        <w:gridCol w:w="566"/>
        <w:gridCol w:w="346"/>
        <w:gridCol w:w="320"/>
        <w:gridCol w:w="566"/>
        <w:gridCol w:w="346"/>
        <w:gridCol w:w="196"/>
        <w:gridCol w:w="79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229360" cy="175260"/>
                      <wp:effectExtent l="0" t="0" r="0" b="0"/>
                      <wp:wrapNone/>
                      <wp:docPr id="122" name="Frame12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8270" cy="175260"/>
                      <wp:effectExtent l="0" t="0" r="0" b="0"/>
                      <wp:wrapNone/>
                      <wp:docPr id="124" name="Frame124"/>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52755" cy="175260"/>
                      <wp:effectExtent l="0" t="0" r="0" b="0"/>
                      <wp:wrapNone/>
                      <wp:docPr id="125" name="Frame125"/>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3200" cy="175260"/>
                      <wp:effectExtent l="0" t="0" r="0" b="0"/>
                      <wp:wrapNone/>
                      <wp:docPr id="127" name="Frame127"/>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359410" cy="175260"/>
                      <wp:effectExtent l="0" t="0" r="0" b="0"/>
                      <wp:wrapNone/>
                      <wp:docPr id="128" name="Frame128"/>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3200" cy="175260"/>
                      <wp:effectExtent l="0" t="0" r="0" b="0"/>
                      <wp:wrapNone/>
                      <wp:docPr id="130" name="Frame13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59410" cy="175260"/>
                      <wp:effectExtent l="0" t="0" r="0" b="0"/>
                      <wp:wrapNone/>
                      <wp:docPr id="131" name="Frame13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24460" cy="175260"/>
                      <wp:effectExtent l="0" t="0" r="0" b="0"/>
                      <wp:wrapNone/>
                      <wp:docPr id="133" name="Frame1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5460" cy="175260"/>
                      <wp:effectExtent l="0" t="0" r="0" b="0"/>
                      <wp:wrapNone/>
                      <wp:docPr id="134" name="Frame1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9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346" w:type="dxa"/>
            <w:tcBorders/>
            <w:vAlign w:val="center"/>
          </w:tcPr>
          <w:p>
            <w:pPr>
              <w:pStyle w:val="TableContents"/>
              <w:bidi w:val="0"/>
              <w:spacing w:before="0" w:after="1"/>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133,839</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133,902</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60,468</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60,468</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194,307</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194,370</w:t>
            </w:r>
          </w:p>
        </w:tc>
      </w:tr>
    </w:tbl>
    <w:p>
      <w:pPr>
        <w:pStyle w:val="TextBody"/>
        <w:bidi w:val="0"/>
        <w:spacing w:before="0" w:after="20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fair value of cash equivalents and investments as of June 30, 2026 and December 31, 2025, are classified as follows in the Company’s condensed consolidated balance sheets (in thousands):</w:t>
      </w:r>
    </w:p>
    <w:tbl>
      <w:tblPr>
        <w:tblW w:w="4628" w:type="dxa"/>
        <w:jc w:val="left"/>
        <w:tblInd w:w="0" w:type="dxa"/>
        <w:tblLayout w:type="fixed"/>
        <w:tblCellMar>
          <w:top w:w="0" w:type="dxa"/>
          <w:left w:w="0" w:type="dxa"/>
          <w:bottom w:w="0" w:type="dxa"/>
          <w:right w:w="0" w:type="dxa"/>
        </w:tblCellMar>
      </w:tblPr>
      <w:tblGrid>
        <w:gridCol w:w="1996"/>
        <w:gridCol w:w="109"/>
        <w:gridCol w:w="211"/>
        <w:gridCol w:w="781"/>
        <w:gridCol w:w="346"/>
        <w:gridCol w:w="228"/>
        <w:gridCol w:w="957"/>
      </w:tblGrid>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Classified as:</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61,130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60,468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109" w:type="dxa"/>
            <w:tcBorders/>
            <w:vAlign w:val="center"/>
          </w:tcPr>
          <w:p>
            <w:pPr>
              <w:pStyle w:val="TableContents"/>
              <w:bidi w:val="0"/>
              <w:spacing w:before="0" w:after="1"/>
              <w:ind w:left="0" w:right="0" w:hanging="0"/>
              <w:jc w:val="righ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186,906</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133,902</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109"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248,036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194,370</w:t>
            </w:r>
          </w:p>
        </w:tc>
      </w:tr>
    </w:tbl>
    <w:p>
      <w:pPr>
        <w:pStyle w:val="TextBody"/>
        <w:bidi w:val="0"/>
        <w:spacing w:before="0" w:after="20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Cash equivalents in the tables above exclude cash demand deposits of $49.6 million and $102.6 million as of June 30, 2026 and December 31, 2025, respectively. </w:t>
      </w:r>
      <w:r>
        <w:rPr>
          <w:rFonts w:ascii="Times New Roman;Times;serif" w:hAnsi="Times New Roman;Times;serif"/>
          <w:sz w:val="20"/>
          <w:shd w:fill="FFFFFF" w:val="clear"/>
        </w:rPr>
        <w:t xml:space="preserve">Unrealized gains and losses are included in accumulated other comprehensive loss, and as of June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358" w:name="Tc_1slc7QvoskKkmcTfiaZa0A_5_11"/>
      <w:bookmarkStart w:id="1359" w:name="Tc_XRZpQ4sjjEGXAZBi6SF5mQ_5_9"/>
      <w:bookmarkStart w:id="1360" w:name="Tc_4mmoLh6tpkGL40QFzEqz3Q_5_8"/>
      <w:bookmarkStart w:id="1361" w:name="Tc_uDuZGCBbfkWoMIqAGfdhSg_5_6"/>
      <w:bookmarkStart w:id="1362" w:name="Tc_JVeiyaftiUS92MtNHUIM2Q_5_5"/>
      <w:bookmarkStart w:id="1363" w:name="Tc_aiYxCnx8X0CCOhk4iyK9Fw_5_2"/>
      <w:bookmarkStart w:id="1364" w:name="Tc_nEP1LmpYZk6LmfnXMkqlhA_5_0"/>
      <w:bookmarkStart w:id="1365" w:name="Tc_4IPL8RmAAkqtfuwbbEKY-w_4_9"/>
      <w:bookmarkStart w:id="1366" w:name="Tc_lS_3BiWAlkeenPwkZMYCXw_4_6"/>
      <w:bookmarkStart w:id="1367" w:name="Tc_WqfGWoAwGUyFRmpoDDIfKw_4_0"/>
      <w:bookmarkStart w:id="1368" w:name="Tc_S80-B4LhkkSe58JjuDxFDQ_3_11"/>
      <w:bookmarkStart w:id="1369" w:name="Tc_Dz2cGXawx0qpy8pEFcAQ_Q_3_9"/>
      <w:bookmarkStart w:id="1370" w:name="Tc_5WUvof0imE6r8E7iTH1nGA_3_8"/>
      <w:bookmarkStart w:id="1371" w:name="Tc_CI_8v9FG90GdTq6VzJfRTQ_3_6"/>
      <w:bookmarkStart w:id="1372" w:name="Tc_sJ8AE22_M024glssJsCztw_3_5"/>
      <w:bookmarkStart w:id="1373" w:name="Tc_O6vt2GeNJ06TYJfNCBoQ5Q_3_2"/>
      <w:bookmarkStart w:id="1374" w:name="Tc_jIY3kdYUpUWemCeA27X5GA_3_0"/>
      <w:bookmarkStart w:id="1375" w:name="Tc_BaM675-OPk-E7AEuir5INQ_2_11"/>
      <w:bookmarkStart w:id="1376" w:name="Tc_vbCA0yn2FEiyWMwLjLsE_w_2_8"/>
      <w:bookmarkStart w:id="1377" w:name="Tc_lhuZLaTMAkqKnY0TZSAj4g_2_5"/>
      <w:bookmarkStart w:id="1378" w:name="Tc_Ry64CD8kpku3ykFhCTZYdw_2_2"/>
      <w:bookmarkStart w:id="1379" w:name="Tc_didJMs9gUEa6CNnp3zpZ-g_1_2"/>
      <w:bookmarkStart w:id="1380" w:name="_110a36d9_7e25_4db0_bfb1_58cd3c1f2723"/>
      <w:bookmarkStart w:id="1381" w:name="Tc_MEI6t6dqEUCmub_L0hbC-A_5_11"/>
      <w:bookmarkStart w:id="1382" w:name="Tc_LVmXj1evikeBggnOznggVA_5_9"/>
      <w:bookmarkStart w:id="1383" w:name="Tc_YohvlnemsUqM0bHTpwhqNA_5_8"/>
      <w:bookmarkStart w:id="1384" w:name="Tc_2jBkOyRLbkWJWD_DBAq36Q_5_6"/>
      <w:bookmarkStart w:id="1385" w:name="Tc_WaX-JxHt2Ee2LcVkdgiP5Q_5_5"/>
      <w:bookmarkStart w:id="1386" w:name="Tc_rjxLSKcVhkaOhr9blLdk0w_5_2"/>
      <w:bookmarkStart w:id="1387" w:name="Tc_1psjHi2ruEqL5mJyuYzkjA_5_0"/>
      <w:bookmarkStart w:id="1388" w:name="Tc_ozc92pPq5kSStwC5CxW6ZQ_4_9"/>
      <w:bookmarkStart w:id="1389" w:name="Tc_vzZEu6FyLU2njPvstbWmqA_4_6"/>
      <w:bookmarkStart w:id="1390" w:name="Tc_20b0RyfHnUqOhugDEH3PbA_4_0"/>
      <w:bookmarkStart w:id="1391" w:name="Tc_BG_UUhDF_0ex9EbNlT6SPg_3_11"/>
      <w:bookmarkStart w:id="1392" w:name="Tc__-NQBulYV0K2vMlUqlBmQg_3_9"/>
      <w:bookmarkStart w:id="1393" w:name="Tc_RPjSiQcWEUikgoAkXPcZVw_3_8"/>
      <w:bookmarkStart w:id="1394" w:name="Tc_9QfTN5V-VE6mpIZKj_Ka-w_3_6"/>
      <w:bookmarkStart w:id="1395" w:name="Tc_mdtKBOzav0iWQNq6OH48eA_3_5"/>
      <w:bookmarkStart w:id="1396" w:name="Tc_iZTg6vVsTkyl4k6dnwfQgQ_3_2"/>
      <w:bookmarkStart w:id="1397" w:name="Tc_Nx58dt2OiUGVp-rdZPIgwQ_3_0"/>
      <w:bookmarkStart w:id="1398" w:name="Tc_1zGxI_m_3kSvIfMcSwWPOQ_2_11"/>
      <w:bookmarkStart w:id="1399" w:name="Tc_UcjTzWTof0K-1_rN4IfSpw_2_8"/>
      <w:bookmarkStart w:id="1400" w:name="Tc_DbJqsGX_rEuL7q6Jyasbog_2_5"/>
      <w:bookmarkStart w:id="1401" w:name="Tc_QAK4BIULVEiNaJuCTfN9RQ_2_2"/>
      <w:bookmarkStart w:id="1402" w:name="Tc_UIZIQr3ZdEe5fpieW010ug_1_2"/>
      <w:bookmarkStart w:id="1403" w:name="_ef606639_55b6_4843_a65a_7098773d8c6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r>
        <w:rPr>
          <w:rFonts w:ascii="Times New Roman;Times;serif" w:hAnsi="Times New Roman;Times;serif"/>
          <w:sz w:val="20"/>
          <w:shd w:fill="FFFFFF" w:val="clear"/>
        </w:rPr>
        <w:t xml:space="preserve">30, 2026 and December 31, 2025, no unrealized losses on available-for-sale securities have resulted from credit risk. All available-for-sale securities held as of </w:t>
      </w:r>
      <w:r>
        <w:rPr>
          <w:rFonts w:ascii="Times New Roman;Times;serif" w:hAnsi="Times New Roman;Times;serif"/>
          <w:sz w:val="20"/>
        </w:rPr>
        <w:t xml:space="preserve">June 30, 2026 and December 31, 2025 </w:t>
      </w:r>
      <w:r>
        <w:rPr>
          <w:rFonts w:ascii="Times New Roman;Times;serif" w:hAnsi="Times New Roman;Times;serif"/>
          <w:sz w:val="20"/>
          <w:shd w:fill="FFFFFF" w:val="clear"/>
        </w:rPr>
        <w:t>had contractual maturities of less than one year. No available-for-sale securities held as of the periods presented have been in a continuous unrealized loss position for more than 12 months. To date, the Company has not recorded any impairment charges on its investments.</w:t>
      </w:r>
      <w:r>
        <w:rPr>
          <w:rFonts w:ascii="Times New Roman;Times;serif" w:hAnsi="Times New Roman;Times;serif"/>
          <w:sz w:val="20"/>
        </w:rPr>
        <w:t xml:space="preserv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Recurring Fair Value Measurements</w:t>
      </w:r>
    </w:p>
    <w:p>
      <w:pPr>
        <w:pStyle w:val="TextBody"/>
        <w:bidi w:val="0"/>
        <w:spacing w:before="0" w:after="20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As of June 30, 2026 and December 31, 2025,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pStyle w:val="TextBody"/>
        <w:bidi w:val="0"/>
        <w:spacing w:before="0" w:after="200"/>
        <w:ind w:left="0" w:right="0" w:firstLine="547"/>
        <w:jc w:val="left"/>
        <w:rPr/>
      </w:pPr>
      <w:r>
        <w:rPr/>
        <w:t>​</w:t>
      </w:r>
    </w:p>
    <w:tbl>
      <w:tblPr>
        <w:tblW w:w="6296" w:type="dxa"/>
        <w:jc w:val="left"/>
        <w:tblInd w:w="0" w:type="dxa"/>
        <w:tblLayout w:type="fixed"/>
        <w:tblCellMar>
          <w:top w:w="0" w:type="dxa"/>
          <w:left w:w="0" w:type="dxa"/>
          <w:bottom w:w="0" w:type="dxa"/>
          <w:right w:w="0" w:type="dxa"/>
        </w:tblCellMar>
      </w:tblPr>
      <w:tblGrid>
        <w:gridCol w:w="1771"/>
        <w:gridCol w:w="346"/>
        <w:gridCol w:w="196"/>
        <w:gridCol w:w="691"/>
        <w:gridCol w:w="346"/>
        <w:gridCol w:w="228"/>
        <w:gridCol w:w="403"/>
        <w:gridCol w:w="346"/>
        <w:gridCol w:w="228"/>
        <w:gridCol w:w="403"/>
        <w:gridCol w:w="346"/>
        <w:gridCol w:w="196"/>
        <w:gridCol w:w="79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24585" cy="175260"/>
                      <wp:effectExtent l="0" t="0" r="0" b="0"/>
                      <wp:wrapNone/>
                      <wp:docPr id="137" name="Frame137"/>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24460" cy="175260"/>
                      <wp:effectExtent l="0" t="0" r="0" b="0"/>
                      <wp:wrapNone/>
                      <wp:docPr id="139" name="Frame1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8785" cy="175260"/>
                      <wp:effectExtent l="0" t="0" r="0" b="0"/>
                      <wp:wrapNone/>
                      <wp:docPr id="140" name="Frame1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44780" cy="175260"/>
                      <wp:effectExtent l="0" t="0" r="0" b="0"/>
                      <wp:wrapNone/>
                      <wp:docPr id="142" name="Frame142"/>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5905" cy="175260"/>
                      <wp:effectExtent l="0" t="0" r="0" b="0"/>
                      <wp:wrapNone/>
                      <wp:docPr id="143" name="Frame14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4780" cy="175260"/>
                      <wp:effectExtent l="0" t="0" r="0" b="0"/>
                      <wp:wrapNone/>
                      <wp:docPr id="145" name="Frame14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55905" cy="175260"/>
                      <wp:effectExtent l="0" t="0" r="0" b="0"/>
                      <wp:wrapNone/>
                      <wp:docPr id="146" name="Frame14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24460" cy="175260"/>
                      <wp:effectExtent l="0" t="0" r="0" b="0"/>
                      <wp:wrapNone/>
                      <wp:docPr id="148" name="Frame1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05460" cy="175260"/>
                      <wp:effectExtent l="0" t="0" r="0" b="0"/>
                      <wp:wrapNone/>
                      <wp:docPr id="149" name="Frame1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June 30, 2026</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186,906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186,906</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vAlign w:val="center"/>
          </w:tcPr>
          <w:p>
            <w:pPr>
              <w:pStyle w:val="TableContents"/>
              <w:bidi w:val="0"/>
              <w:spacing w:before="0" w:after="1"/>
              <w:ind w:left="0" w:right="0" w:hanging="0"/>
              <w:jc w:val="righ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61,130</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61,130</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248,036</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248,036</w:t>
            </w:r>
          </w:p>
        </w:tc>
      </w:tr>
    </w:tbl>
    <w:p>
      <w:pPr>
        <w:pStyle w:val="TextBody"/>
        <w:bidi w:val="0"/>
        <w:spacing w:before="0" w:after="200"/>
        <w:ind w:left="0" w:right="0" w:firstLine="547"/>
        <w:jc w:val="left"/>
        <w:rPr/>
      </w:pPr>
      <w:r>
        <w:rPr/>
        <w:t>​</w:t>
      </w:r>
    </w:p>
    <w:tbl>
      <w:tblPr>
        <w:tblW w:w="6296" w:type="dxa"/>
        <w:jc w:val="left"/>
        <w:tblInd w:w="0" w:type="dxa"/>
        <w:tblLayout w:type="fixed"/>
        <w:tblCellMar>
          <w:top w:w="0" w:type="dxa"/>
          <w:left w:w="0" w:type="dxa"/>
          <w:bottom w:w="0" w:type="dxa"/>
          <w:right w:w="0" w:type="dxa"/>
        </w:tblCellMar>
      </w:tblPr>
      <w:tblGrid>
        <w:gridCol w:w="1771"/>
        <w:gridCol w:w="346"/>
        <w:gridCol w:w="196"/>
        <w:gridCol w:w="691"/>
        <w:gridCol w:w="346"/>
        <w:gridCol w:w="228"/>
        <w:gridCol w:w="403"/>
        <w:gridCol w:w="346"/>
        <w:gridCol w:w="228"/>
        <w:gridCol w:w="403"/>
        <w:gridCol w:w="346"/>
        <w:gridCol w:w="196"/>
        <w:gridCol w:w="79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24585" cy="175260"/>
                      <wp:effectExtent l="0" t="0" r="0" b="0"/>
                      <wp:wrapNone/>
                      <wp:docPr id="150" name="Frame150"/>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4460" cy="175260"/>
                      <wp:effectExtent l="0" t="0" r="0" b="0"/>
                      <wp:wrapNone/>
                      <wp:docPr id="152" name="Frame1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38785" cy="175260"/>
                      <wp:effectExtent l="0" t="0" r="0" b="0"/>
                      <wp:wrapNone/>
                      <wp:docPr id="153" name="Frame15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4780" cy="175260"/>
                      <wp:effectExtent l="0" t="0" r="0" b="0"/>
                      <wp:wrapNone/>
                      <wp:docPr id="155" name="Frame15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55905" cy="175260"/>
                      <wp:effectExtent l="0" t="0" r="0" b="0"/>
                      <wp:wrapNone/>
                      <wp:docPr id="156" name="Frame15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4780" cy="175260"/>
                      <wp:effectExtent l="0" t="0" r="0" b="0"/>
                      <wp:wrapNone/>
                      <wp:docPr id="158" name="Frame15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55905" cy="175260"/>
                      <wp:effectExtent l="0" t="0" r="0" b="0"/>
                      <wp:wrapNone/>
                      <wp:docPr id="159" name="Frame15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5460" cy="175260"/>
                      <wp:effectExtent l="0" t="0" r="0" b="0"/>
                      <wp:wrapNone/>
                      <wp:docPr id="162" name="Frame1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7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December 31, 2025</w:t>
            </w:r>
          </w:p>
        </w:tc>
      </w:tr>
      <w:tr>
        <w:trPr/>
        <w:tc>
          <w:tcPr>
            <w:tcW w:w="17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133,902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133,902</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vAlign w:val="center"/>
          </w:tcPr>
          <w:p>
            <w:pPr>
              <w:pStyle w:val="TableContents"/>
              <w:bidi w:val="0"/>
              <w:spacing w:before="0" w:after="1"/>
              <w:ind w:left="0" w:right="0" w:hanging="0"/>
              <w:jc w:val="righ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60,468</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60,468</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194,370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194,370</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r>
        <w:rPr>
          <w:rFonts w:ascii="Times New Roman;Times;serif" w:hAnsi="Times New Roman;Times;serif"/>
          <w:b/>
          <w:sz w:val="20"/>
        </w:rPr>
        <w:br/>
        <w:t>​</w:t>
      </w:r>
    </w:p>
    <w:p>
      <w:pPr>
        <w:pStyle w:val="TextBody"/>
        <w:bidi w:val="0"/>
        <w:spacing w:before="0" w:after="200"/>
        <w:ind w:left="0" w:right="0" w:hanging="0"/>
        <w:jc w:val="left"/>
        <w:rPr>
          <w:rFonts w:ascii="Times New Roman;Times;serif" w:hAnsi="Times New Roman;Times;serif"/>
          <w:b/>
          <w:sz w:val="20"/>
        </w:rPr>
      </w:pPr>
      <w:bookmarkStart w:id="1404" w:name="Tc_hc-5v5HLI0iJm34CIKdgjg_10_0"/>
      <w:bookmarkStart w:id="1405" w:name="Tc_vET1whphMEOtsBuDdn-1VA_9_5"/>
      <w:bookmarkStart w:id="1406" w:name="Tc__R3mKE4fyEKi7Q9eN10_Ag_9_2"/>
      <w:bookmarkStart w:id="1407" w:name="Tc_60D-yuf8yka7kLtX8SDPEw_9_0"/>
      <w:bookmarkStart w:id="1408" w:name="Tc_WhPHGxfKFEmSgwD3BT2Otg_8_0"/>
      <w:bookmarkStart w:id="1409" w:name="Tc_5FcHJ92PQEq_gTyd-2y8HA_7_5"/>
      <w:bookmarkStart w:id="1410" w:name="Tc_382La8XbpkWYkLK9iD12PQ_7_2"/>
      <w:bookmarkStart w:id="1411" w:name="Tc_3tkZTG-dOEi5MuZ3j6nnPg_7_0"/>
      <w:bookmarkStart w:id="1412" w:name="Tc_88MUh35njE6DEvZbg0jWsw_6_0"/>
      <w:bookmarkStart w:id="1413" w:name="Tc_cP_2RxmidkSzXJYxSs436g_5_0"/>
      <w:bookmarkStart w:id="1414" w:name="Tc_BzcYf52CO0KIBpM5qvq6Zw_4_0"/>
      <w:bookmarkStart w:id="1415" w:name="Tc_C1eKVuTFMkKckz4eKSZwqA_3_5"/>
      <w:bookmarkStart w:id="1416" w:name="Tc_qctworWNa06UEq56eOFysw_3_2"/>
      <w:bookmarkStart w:id="1417" w:name="Tc_0WrHwReJrkm2x11JapqY6Q_3_0"/>
      <w:bookmarkStart w:id="1418" w:name="Tc_mF01H__SRUy9EyeXaIridA_2_5"/>
      <w:bookmarkStart w:id="1419" w:name="Tc_b-IsUMUZrEa_2ta2GHjhnA_2_2"/>
      <w:bookmarkStart w:id="1420" w:name="Tc_4ZwkOcmo90GBTvB3fN4omA_1_5"/>
      <w:bookmarkStart w:id="1421" w:name="Tc_UkIBhUmo_0iFCeHMeQg2lQ_1_2"/>
      <w:bookmarkStart w:id="1422" w:name="_d8cef510_aa72_4adb_8adc_44380045d1b2"/>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r>
        <w:rPr>
          <w:rFonts w:ascii="Times New Roman;Times;serif" w:hAnsi="Times New Roman;Times;serif"/>
          <w:b/>
          <w:sz w:val="20"/>
        </w:rPr>
        <w:t>NOTE 4. INTANGIBLE ASSETS, NET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shd w:fill="FFFFFF" w:val="clear"/>
        </w:rPr>
        <w:t xml:space="preserve">The gross carrying amounts and net book value of intangible assets as of </w:t>
      </w:r>
      <w:r>
        <w:rPr>
          <w:rFonts w:ascii="Times New Roman;Times;serif" w:hAnsi="Times New Roman;Times;serif"/>
          <w:sz w:val="20"/>
        </w:rPr>
        <w:t>June 30, 2026, and December 31, 2025</w:t>
      </w:r>
      <w:r>
        <w:rPr>
          <w:rFonts w:ascii="Times New Roman;Times;serif" w:hAnsi="Times New Roman;Times;serif"/>
          <w:sz w:val="20"/>
          <w:shd w:fill="FFFFFF" w:val="clear"/>
        </w:rPr>
        <w:t>, are as follows (in thousands):</w:t>
      </w:r>
    </w:p>
    <w:p>
      <w:pPr>
        <w:pStyle w:val="TextBody"/>
        <w:bidi w:val="0"/>
        <w:spacing w:before="0" w:after="0"/>
        <w:ind w:left="0" w:right="0" w:hanging="0"/>
        <w:jc w:val="left"/>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7817"/>
        <w:gridCol w:w="109"/>
        <w:gridCol w:w="211"/>
        <w:gridCol w:w="792"/>
        <w:gridCol w:w="109"/>
        <w:gridCol w:w="237"/>
        <w:gridCol w:w="930"/>
      </w:tblGrid>
      <w:tr>
        <w:trPr/>
        <w:tc>
          <w:tcPr>
            <w:tcW w:w="78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2920" cy="175260"/>
                      <wp:effectExtent l="0" t="0" r="0" b="0"/>
                      <wp:wrapNone/>
                      <wp:docPr id="165" name="Frame165"/>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50495" cy="175260"/>
                      <wp:effectExtent l="0" t="0" r="0" b="0"/>
                      <wp:wrapNone/>
                      <wp:docPr id="167" name="Frame1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0550" cy="175260"/>
                      <wp:effectExtent l="0" t="0" r="0" b="0"/>
                      <wp:wrapNone/>
                      <wp:docPr id="168" name="Frame168"/>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0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both"/>
              <w:rPr/>
            </w:pPr>
            <w:r>
              <w:rPr/>
              <w:t>​</w:t>
            </w:r>
          </w:p>
        </w:tc>
        <w:tc>
          <w:tcPr>
            <w:tcW w:w="11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8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both"/>
              <w:rPr/>
            </w:pPr>
            <w:r>
              <w:rPr/>
              <w:t>​</w:t>
            </w:r>
          </w:p>
        </w:tc>
        <w:tc>
          <w:tcPr>
            <w:tcW w:w="11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8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 *</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321,584</w:t>
            </w:r>
          </w:p>
        </w:tc>
        <w:tc>
          <w:tcPr>
            <w:tcW w:w="109" w:type="dxa"/>
            <w:tcBorders/>
            <w:shd w:fill="CCEEFF" w:val="clear"/>
            <w:vAlign w:val="center"/>
          </w:tcPr>
          <w:p>
            <w:pPr>
              <w:pStyle w:val="TableContents"/>
              <w:bidi w:val="0"/>
              <w:spacing w:before="0" w:after="0"/>
              <w:ind w:left="0" w:right="0" w:hanging="0"/>
              <w:jc w:val="both"/>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326,497</w:t>
            </w:r>
          </w:p>
        </w:tc>
      </w:tr>
      <w:tr>
        <w:trPr/>
        <w:tc>
          <w:tcPr>
            <w:tcW w:w="78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Assembled workforce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78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 license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78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78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330,237</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335,160</w:t>
            </w:r>
          </w:p>
        </w:tc>
      </w:tr>
      <w:tr>
        <w:trPr/>
        <w:tc>
          <w:tcPr>
            <w:tcW w:w="78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(66,343)</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(55,836)</w:t>
            </w:r>
          </w:p>
        </w:tc>
      </w:tr>
      <w:tr>
        <w:trPr/>
        <w:tc>
          <w:tcPr>
            <w:tcW w:w="78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263,894</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279,324</w:t>
            </w:r>
          </w:p>
        </w:tc>
      </w:tr>
      <w:tr>
        <w:trPr/>
        <w:tc>
          <w:tcPr>
            <w:tcW w:w="781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Amounts are translated using the foreign exchange rates as of June 30, 2026 and December 31, 2025, respectively.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right"/>
              <w:rPr/>
            </w:pPr>
            <w:r>
              <w:rPr/>
              <w:t>​</w:t>
            </w:r>
          </w:p>
        </w:tc>
        <w:tc>
          <w:tcPr>
            <w:tcW w:w="930"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shd w:fill="FFFFFF" w:val="clear"/>
        </w:rPr>
        <w:t xml:space="preserve">The Company recognized amortization expense of $5.7 million and $11.3 million during the three and six months ended </w:t>
      </w:r>
      <w:r>
        <w:rPr>
          <w:rFonts w:ascii="Times New Roman;Times;serif" w:hAnsi="Times New Roman;Times;serif"/>
          <w:sz w:val="20"/>
        </w:rPr>
        <w:t>June 30, 2026,</w:t>
      </w:r>
      <w:r>
        <w:rPr>
          <w:rFonts w:ascii="Times New Roman;Times;serif" w:hAnsi="Times New Roman;Times;serif"/>
          <w:sz w:val="20"/>
          <w:shd w:fill="FFFFFF" w:val="clear"/>
        </w:rPr>
        <w:t xml:space="preserve"> and $5.7 million and $11.1 million during the three and six months ended June 30, 2025, respectively, excluding non-cash amortization expense of the fair value step-up acquired inventory. </w:t>
      </w:r>
    </w:p>
    <w:p>
      <w:pPr>
        <w:pStyle w:val="TextBody"/>
        <w:bidi w:val="0"/>
        <w:spacing w:before="0" w:after="0"/>
        <w:ind w:left="0" w:right="0" w:firstLine="547"/>
        <w:jc w:val="left"/>
        <w:rPr>
          <w:shd w:fill="FFFFFF" w:val="clear"/>
        </w:rPr>
      </w:pPr>
      <w:r>
        <w:rPr>
          <w:shd w:fill="FFFFFF" w:val="clear"/>
        </w:rPr>
        <w:t>​</w:t>
      </w:r>
    </w:p>
    <w:p>
      <w:pPr>
        <w:pStyle w:val="TextBody"/>
        <w:bidi w:val="0"/>
        <w:spacing w:before="0" w:after="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The total estimated amortization of the Company’s intangible assets for the remainder of the year ending December 31, 2026, and the years ending December 31, 2027, 2028, 2029, and 2030 are $11.2 million, $22.5 million, $22.5 million, $22.5 million, and $22.5 million, respectively.</w:t>
      </w:r>
    </w:p>
    <w:p>
      <w:pPr>
        <w:pStyle w:val="TextBody"/>
        <w:bidi w:val="0"/>
        <w:spacing w:before="0" w:after="0"/>
        <w:ind w:left="0" w:right="0" w:firstLine="547"/>
        <w:jc w:val="left"/>
        <w:rPr>
          <w:shd w:fill="FFFFFF" w:val="clear"/>
        </w:rPr>
      </w:pPr>
      <w:r>
        <w:rPr>
          <w:shd w:fill="FFFFFF" w:val="clea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shd w:fill="FFFFFF" w:val="clear"/>
        </w:rPr>
        <w:t xml:space="preserve">The developed technology and assembled workforce intangible assets were acquired in May 2023 through the Company's acquisition of the worldwide rights for Proleukin® (aldesleukin) from Clinigen Holdings Limited and its affiliates (the "Proleukin Acquisition"). The Proleukin Acquisition was accounted for as an asset acquisition under ASC 805. The developed technology is amortized over a useful life of 15 years based on fair value estimated using a multi-period excess earnings income approach. The assembled workforce is amortized over a useful life of 3 years based on fair value estimated using a replacement cost less depreciation method. The weighted average amortization period the developed technology and </w:t>
      </w:r>
      <w:r>
        <w:rPr>
          <w:rFonts w:ascii="Times New Roman;Times;serif" w:hAnsi="Times New Roman;Times;serif"/>
          <w:b w:val="false"/>
          <w:i w:val="false"/>
          <w:caps w:val="false"/>
          <w:smallCaps w:val="false"/>
          <w:sz w:val="20"/>
          <w:shd w:fill="FFFFFF" w:val="clear"/>
        </w:rPr>
        <w:t>assembled workforce</w:t>
      </w:r>
      <w:r>
        <w:rPr>
          <w:rFonts w:ascii="Times New Roman;Times;serif" w:hAnsi="Times New Roman;Times;serif"/>
          <w:sz w:val="20"/>
          <w:shd w:fill="FFFFFF" w:val="clear"/>
        </w:rPr>
        <w:t xml:space="preserve"> is 14.8 years.</w:t>
      </w:r>
    </w:p>
    <w:p>
      <w:pPr>
        <w:pStyle w:val="TextBody"/>
        <w:bidi w:val="0"/>
        <w:spacing w:before="0" w:after="0"/>
        <w:ind w:left="0" w:right="0" w:firstLine="547"/>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The Proleukin Acquisition agreement provides for contingent cash payments consisting of (i) a milestone payment upon first approval of lifileucel in advanced melanoma, (ii) deferred consideration based on double-digit rates on global net sales over a deferred term consideration term of twelve-years, and (iii) after the deferred consideration term, earnout payments payable from the Company to sellers following the completion of the transaction if deferred consideration payments are equal or greater than the deferred consideration amount provided for in the agreement. These contingent payments are accounted for under ASC 450 and recognized when both probable and estimable.</w:t>
      </w:r>
    </w:p>
    <w:p>
      <w:pPr>
        <w:pStyle w:val="TextBody"/>
        <w:bidi w:val="0"/>
        <w:spacing w:before="0" w:after="0"/>
        <w:ind w:left="0" w:right="0" w:firstLine="547"/>
        <w:jc w:val="left"/>
        <w:rPr>
          <w:shd w:fill="FFFFFF" w:val="clear"/>
        </w:rPr>
      </w:pPr>
      <w:r>
        <w:rPr>
          <w:shd w:fill="FFFFFF" w:val="clea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shd w:fill="FFFFFF" w:val="clear"/>
        </w:rPr>
        <w:t>During the first quarter of 2024, the Company made the milestone payment of $52.6 million (£41.7 million) upon approval of Amtagvi</w:t>
      </w:r>
      <w:r>
        <w:rPr>
          <w:rFonts w:ascii="Times New Roman;Times;serif" w:hAnsi="Times New Roman;Times;serif"/>
          <w:sz w:val="15"/>
          <w:shd w:fill="FFFFFF" w:val="clear"/>
        </w:rPr>
        <w:t>®</w:t>
      </w:r>
      <w:r>
        <w:rPr>
          <w:rFonts w:ascii="Times New Roman;Times;serif" w:hAnsi="Times New Roman;Times;serif"/>
          <w:sz w:val="20"/>
          <w:shd w:fill="FFFFFF" w:val="clear"/>
        </w:rPr>
        <w:t>, which was capitalized and is being amortized over the remaining useful life of the developed technology. An additional $17.5 million (£13.9 million) was recorded to reflect the related deferred tax liability.</w:t>
      </w:r>
    </w:p>
    <w:p>
      <w:pPr>
        <w:pStyle w:val="TextBody"/>
        <w:bidi w:val="0"/>
        <w:spacing w:before="0" w:after="0"/>
        <w:ind w:left="0" w:right="0" w:firstLine="408"/>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b/>
          <w:sz w:val="20"/>
        </w:rPr>
      </w:pPr>
      <w:bookmarkStart w:id="1423" w:name="Tc_m-WsbH01bUOiwHYRD6--Rg_6_5"/>
      <w:bookmarkStart w:id="1424" w:name="Tc_3B2I-pes2ECDLN9NKG8sxg_6_2"/>
      <w:bookmarkStart w:id="1425" w:name="Tc_OPTFiljTykeIxgbt_IbEvw_6_0"/>
      <w:bookmarkStart w:id="1426" w:name="Tc_-6YKnfUeykOPlCEaNn4YxQ_5_0"/>
      <w:bookmarkStart w:id="1427" w:name="Tc_X2EJMUlIA02WYyn0xQmSsg_4_0"/>
      <w:bookmarkStart w:id="1428" w:name="Tc__6PVwjgqkE-tpcEcavk0nQ_3_5"/>
      <w:bookmarkStart w:id="1429" w:name="Tc_9AH76drdHEq6VLof_ZdCtQ_3_2"/>
      <w:bookmarkStart w:id="1430" w:name="Tc_TjEwITY3F0-c056_c1xH3g_3_0"/>
      <w:bookmarkStart w:id="1431" w:name="Tc_38o0-9fleEy7X8Kycc8Tlg_2_6"/>
      <w:bookmarkStart w:id="1432" w:name="Tc_ubzQOChZb0mY7QypYeMJnA_2_3"/>
      <w:bookmarkStart w:id="1433" w:name="Tc_E6Wi-slfYE-UBllTIPLDGw_1_6"/>
      <w:bookmarkStart w:id="1434" w:name="Tc_H4DtqB0tY027hYIJTSXs3w_1_3"/>
      <w:bookmarkStart w:id="1435" w:name="_99eba0a0_00ae_44fd_82bf_a4acafb5cfce"/>
      <w:bookmarkEnd w:id="1423"/>
      <w:bookmarkEnd w:id="1424"/>
      <w:bookmarkEnd w:id="1425"/>
      <w:bookmarkEnd w:id="1426"/>
      <w:bookmarkEnd w:id="1427"/>
      <w:bookmarkEnd w:id="1428"/>
      <w:bookmarkEnd w:id="1429"/>
      <w:bookmarkEnd w:id="1430"/>
      <w:bookmarkEnd w:id="1431"/>
      <w:bookmarkEnd w:id="1432"/>
      <w:bookmarkEnd w:id="1433"/>
      <w:bookmarkEnd w:id="1434"/>
      <w:bookmarkEnd w:id="1435"/>
      <w:r>
        <w:rPr>
          <w:rFonts w:ascii="Times New Roman;Times;serif" w:hAnsi="Times New Roman;Times;serif"/>
          <w:b/>
          <w:sz w:val="20"/>
        </w:rPr>
        <w:t>NOTE 5. INVENTORY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As of June 30, 2026, and December 31, 2025, inventory consists of the following (in thousands): </w:t>
      </w:r>
    </w:p>
    <w:tbl>
      <w:tblPr>
        <w:tblW w:w="4018" w:type="dxa"/>
        <w:jc w:val="left"/>
        <w:tblInd w:w="0" w:type="dxa"/>
        <w:tblLayout w:type="fixed"/>
        <w:tblCellMar>
          <w:top w:w="0" w:type="dxa"/>
          <w:left w:w="0" w:type="dxa"/>
          <w:bottom w:w="0" w:type="dxa"/>
          <w:right w:w="0" w:type="dxa"/>
        </w:tblCellMar>
      </w:tblPr>
      <w:tblGrid>
        <w:gridCol w:w="1426"/>
        <w:gridCol w:w="109"/>
        <w:gridCol w:w="211"/>
        <w:gridCol w:w="766"/>
        <w:gridCol w:w="109"/>
        <w:gridCol w:w="211"/>
        <w:gridCol w:w="118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905510" cy="175260"/>
                      <wp:effectExtent l="0" t="0" r="0" b="0"/>
                      <wp:wrapNone/>
                      <wp:docPr id="169" name="Frame16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86410" cy="175260"/>
                      <wp:effectExtent l="0" t="0" r="0" b="0"/>
                      <wp:wrapNone/>
                      <wp:docPr id="172" name="Frame17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53110" cy="175260"/>
                      <wp:effectExtent l="0" t="0" r="0" b="0"/>
                      <wp:wrapNone/>
                      <wp:docPr id="175" name="Frame17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Raw materials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31,682</w:t>
            </w:r>
          </w:p>
        </w:tc>
      </w:tr>
      <w:tr>
        <w:trPr/>
        <w:tc>
          <w:tcPr>
            <w:tcW w:w="142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Work in process</w:t>
            </w:r>
          </w:p>
        </w:tc>
        <w:tc>
          <w:tcPr>
            <w:tcW w:w="109"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9,163</w:t>
            </w:r>
          </w:p>
        </w:tc>
        <w:tc>
          <w:tcPr>
            <w:tcW w:w="109"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5,044</w:t>
            </w:r>
          </w:p>
        </w:tc>
      </w:tr>
      <w:tr>
        <w:trPr/>
        <w:tc>
          <w:tcPr>
            <w:tcW w:w="142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21,855</w:t>
            </w:r>
          </w:p>
        </w:tc>
        <w:tc>
          <w:tcPr>
            <w:tcW w:w="109"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22,827</w:t>
            </w:r>
          </w:p>
        </w:tc>
      </w:tr>
      <w:tr>
        <w:trPr/>
        <w:tc>
          <w:tcPr>
            <w:tcW w:w="14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109"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61,807</w:t>
            </w:r>
          </w:p>
        </w:tc>
        <w:tc>
          <w:tcPr>
            <w:tcW w:w="109" w:type="dxa"/>
            <w:tcBorders/>
            <w:vAlign w:val="center"/>
          </w:tcPr>
          <w:p>
            <w:pPr>
              <w:pStyle w:val="TableContents"/>
              <w:bidi w:val="0"/>
              <w:spacing w:before="0" w:after="1"/>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59,553</w:t>
            </w:r>
          </w:p>
        </w:tc>
      </w:tr>
    </w:tbl>
    <w:p>
      <w:pPr>
        <w:pStyle w:val="TextBody"/>
        <w:bidi w:val="0"/>
        <w:spacing w:before="0" w:after="200"/>
        <w:ind w:left="0" w:right="0" w:hanging="0"/>
        <w:jc w:val="left"/>
        <w:rPr/>
      </w:pPr>
      <w:r>
        <w:rPr/>
        <w: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Inventory includes $15.7 million for excess and obsolescence reserves recorded as of June 30, 2026, such reserve being primarily related to excess Proleukin</w:t>
      </w:r>
      <w:r>
        <w:rPr>
          <w:rFonts w:ascii="Times New Roman;Times;serif" w:hAnsi="Times New Roman;Times;serif"/>
          <w:sz w:val="15"/>
        </w:rPr>
        <w:t>®</w:t>
      </w:r>
      <w:r>
        <w:rPr>
          <w:rFonts w:ascii="Times New Roman;Times;serif" w:hAnsi="Times New Roman;Times;serif"/>
          <w:sz w:val="20"/>
        </w:rPr>
        <w:t xml:space="preserve"> inventory resulting from a manufacturer contract inherited in the Acquisition for which we cannot yet fully utilize the required purchase quantities while we scale the Amtagvi</w:t>
      </w:r>
      <w:r>
        <w:rPr>
          <w:rFonts w:ascii="Times New Roman;Times;serif" w:hAnsi="Times New Roman;Times;serif"/>
          <w:sz w:val="15"/>
        </w:rPr>
        <w:t>®</w:t>
      </w:r>
      <w:r>
        <w:rPr>
          <w:rFonts w:ascii="Times New Roman;Times;serif" w:hAnsi="Times New Roman;Times;serif"/>
          <w:sz w:val="20"/>
        </w:rPr>
        <w:t xml:space="preserve"> commercial launch.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Inventory expected to be used or sold more than twelve months from the balance sheet date is classified as long-term other assets on the condensed consolidated balance sheet. The Company recorded $6.2 million and $7.9 million of inventory as long-term other assets as of June 30, 2026, and December 31, 2025, respectively. </w:t>
      </w:r>
    </w:p>
    <w:p>
      <w:pPr>
        <w:pStyle w:val="TextBody"/>
        <w:bidi w:val="0"/>
        <w:spacing w:before="0" w:after="200"/>
        <w:ind w:left="0" w:right="0" w:hanging="0"/>
        <w:jc w:val="left"/>
        <w:rPr>
          <w:rFonts w:ascii="Times New Roman;Times;serif" w:hAnsi="Times New Roman;Times;serif"/>
          <w:b/>
          <w:sz w:val="20"/>
        </w:rPr>
      </w:pPr>
      <w:bookmarkStart w:id="1436" w:name="Tc_L9PHnmL01UibP3L7h3mDbw_6_11"/>
      <w:bookmarkStart w:id="1437" w:name="Tc_Zshi0dhARUCIFt60K1Tdig_6_8"/>
      <w:bookmarkStart w:id="1438" w:name="Tc_h7teVWPtQ0G1_3_MuGRMaQ_6_5"/>
      <w:bookmarkStart w:id="1439" w:name="Tc_KqFVxbt4Q0eJOLNOLV-s9g_6_2"/>
      <w:bookmarkStart w:id="1440" w:name="Tc_D1QFHCDd50KIHBkYayF8hA_5_0"/>
      <w:bookmarkStart w:id="1441" w:name="Tc_QkRf_O-AfE6X6AWgThm85Q_4_11"/>
      <w:bookmarkStart w:id="1442" w:name="Tc_Jut9r8I0PkCtURHlpQhLwQ_4_8"/>
      <w:bookmarkStart w:id="1443" w:name="Tc_D8H3OZV7gEiRnKXuTd1T2Q_4_5"/>
      <w:bookmarkStart w:id="1444" w:name="Tc_8c5vFf7iHU-I78MQPcyqEw_4_2"/>
      <w:bookmarkStart w:id="1445" w:name="Tc_Fb-eJFK3Rk-QFkqpVrkctw_4_0"/>
      <w:bookmarkStart w:id="1446" w:name="Tc_pEsbqF8mzUGwOY_v5CyCqw_3_11"/>
      <w:bookmarkStart w:id="1447" w:name="Tc_KSTn7gIkG0ug8A7PpST-bg_3_8"/>
      <w:bookmarkStart w:id="1448" w:name="Tc_b3xIwzCfN0y-Nk_pEOM-Dw_3_5"/>
      <w:bookmarkStart w:id="1449" w:name="Tc_V5fdaq4FCEG273S0creG8Q_3_2"/>
      <w:bookmarkStart w:id="1450" w:name="Tc_3d6YbmAQGESbQyeYw69OKA_2_8"/>
      <w:bookmarkStart w:id="1451" w:name="Tc_h_jtYMK4H0eC_fQCjiKhPA_2_2"/>
      <w:bookmarkStart w:id="1452" w:name="Tc_gkFW0wRseEql065kkXjHNw_1_8"/>
      <w:bookmarkStart w:id="1453" w:name="Tc_xq-Uk1gagUqS1kqi-1ipVg_1_2"/>
      <w:bookmarkStart w:id="1454" w:name="_b670f117_8936_498c_8a4b_513ffba62473"/>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r>
        <w:rPr>
          <w:rFonts w:ascii="Times New Roman;Times;serif" w:hAnsi="Times New Roman;Times;serif"/>
          <w:b/>
          <w:sz w:val="20"/>
        </w:rPr>
        <w:t>NOTE 6. REVENUE</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Net revenue for the periods presented represents sales of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 xml:space="preserve">® </w:t>
      </w:r>
      <w:r>
        <w:rPr>
          <w:rFonts w:ascii="Times New Roman;Times;serif" w:hAnsi="Times New Roman;Times;serif"/>
          <w:sz w:val="20"/>
        </w:rPr>
        <w:t>as follows (in thousands):</w:t>
      </w:r>
    </w:p>
    <w:tbl>
      <w:tblPr>
        <w:tblW w:w="6436" w:type="dxa"/>
        <w:jc w:val="left"/>
        <w:tblInd w:w="0" w:type="dxa"/>
        <w:tblLayout w:type="fixed"/>
        <w:tblCellMar>
          <w:top w:w="0" w:type="dxa"/>
          <w:left w:w="0" w:type="dxa"/>
          <w:bottom w:w="0" w:type="dxa"/>
          <w:right w:w="0" w:type="dxa"/>
        </w:tblCellMar>
      </w:tblPr>
      <w:tblGrid>
        <w:gridCol w:w="1546"/>
        <w:gridCol w:w="226"/>
        <w:gridCol w:w="211"/>
        <w:gridCol w:w="676"/>
        <w:gridCol w:w="346"/>
        <w:gridCol w:w="211"/>
        <w:gridCol w:w="676"/>
        <w:gridCol w:w="109"/>
        <w:gridCol w:w="211"/>
        <w:gridCol w:w="781"/>
        <w:gridCol w:w="346"/>
        <w:gridCol w:w="211"/>
        <w:gridCol w:w="88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81710" cy="175260"/>
                      <wp:effectExtent l="0" t="0" r="0" b="0"/>
                      <wp:wrapNone/>
                      <wp:docPr id="176" name="Frame17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43510" cy="175260"/>
                      <wp:effectExtent l="0" t="0" r="0" b="0"/>
                      <wp:wrapNone/>
                      <wp:docPr id="177" name="Frame17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29260" cy="175260"/>
                      <wp:effectExtent l="0" t="0" r="0" b="0"/>
                      <wp:wrapNone/>
                      <wp:docPr id="179" name="Frame1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29260" cy="175260"/>
                      <wp:effectExtent l="0" t="0" r="0" b="0"/>
                      <wp:wrapNone/>
                      <wp:docPr id="182" name="Frame1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5935" cy="175260"/>
                      <wp:effectExtent l="0" t="0" r="0" b="0"/>
                      <wp:wrapNone/>
                      <wp:docPr id="185" name="Frame1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62610" cy="175260"/>
                      <wp:effectExtent l="0" t="0" r="0" b="0"/>
                      <wp:wrapNone/>
                      <wp:docPr id="188" name="Frame18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pPr>
            <w:r>
              <w:rPr/>
              <w:t>​</w:t>
            </w:r>
          </w:p>
        </w:tc>
        <w:tc>
          <w:tcPr>
            <w:tcW w:w="212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FFFFFF" w:val="clear"/>
            <w:vAlign w:val="center"/>
          </w:tcPr>
          <w:p>
            <w:pPr>
              <w:pStyle w:val="TableContents"/>
              <w:bidi w:val="0"/>
              <w:spacing w:before="0" w:after="0"/>
              <w:ind w:left="0" w:right="0" w:hanging="0"/>
              <w:jc w:val="center"/>
              <w:rPr/>
            </w:pPr>
            <w:r>
              <w:rPr/>
              <w:t>​</w:t>
            </w:r>
          </w:p>
        </w:tc>
        <w:tc>
          <w:tcPr>
            <w:tcW w:w="2435"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5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pPr>
            <w:r>
              <w:rPr/>
              <w:t>  ​</w:t>
            </w:r>
          </w:p>
        </w:tc>
        <w:tc>
          <w:tcPr>
            <w:tcW w:w="212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FFFFFF" w:val="clear"/>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46"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left"/>
              <w:rPr>
                <w:color w:val="FF0000"/>
              </w:rPr>
            </w:pPr>
            <w:r>
              <w:rPr>
                <w:color w:val="FF0000"/>
              </w:rPr>
              <w:t>  ​ ​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shd w:fill="FFFFFF" w:val="clear"/>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90,721</w:t>
            </w:r>
          </w:p>
        </w:tc>
        <w:tc>
          <w:tcPr>
            <w:tcW w:w="34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54,074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97,645</w:t>
            </w:r>
          </w:p>
        </w:tc>
      </w:tr>
      <w:tr>
        <w:trPr/>
        <w:tc>
          <w:tcPr>
            <w:tcW w:w="15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8,592</w:t>
            </w:r>
          </w:p>
        </w:tc>
        <w:tc>
          <w:tcPr>
            <w:tcW w:w="346" w:type="dxa"/>
            <w:tcBorders/>
            <w:vAlign w:val="center"/>
          </w:tcPr>
          <w:p>
            <w:pPr>
              <w:pStyle w:val="TableContents"/>
              <w:bidi w:val="0"/>
              <w:spacing w:before="0" w:after="0"/>
              <w:ind w:left="0" w:right="0" w:hanging="0"/>
              <w:jc w:val="righ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11,631</w:t>
            </w:r>
          </w:p>
        </w:tc>
      </w:tr>
      <w:tr>
        <w:trPr/>
        <w:tc>
          <w:tcPr>
            <w:tcW w:w="1546"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99,313</w:t>
            </w:r>
          </w:p>
        </w:tc>
        <w:tc>
          <w:tcPr>
            <w:tcW w:w="346" w:type="dxa"/>
            <w:tcBorders/>
            <w:shd w:fill="CCEEFF" w:val="clear"/>
            <w:vAlign w:val="center"/>
          </w:tcPr>
          <w:p>
            <w:pPr>
              <w:pStyle w:val="TableContents"/>
              <w:bidi w:val="0"/>
              <w:spacing w:before="0" w:after="0"/>
              <w:ind w:left="0" w:right="0" w:hanging="0"/>
              <w:jc w:val="righ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109,276</w:t>
            </w:r>
          </w:p>
        </w:tc>
      </w:tr>
    </w:tbl>
    <w:p>
      <w:pPr>
        <w:pStyle w:val="TextBody"/>
        <w:bidi w:val="0"/>
        <w:spacing w:before="0" w:after="0"/>
        <w:ind w:left="0" w:right="0" w:hanging="0"/>
        <w:jc w:val="left"/>
        <w:rPr/>
      </w:pPr>
      <w:r>
        <w:rPr/>
        <w: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Revenue from Proleukin</w:t>
      </w:r>
      <w:r>
        <w:rPr>
          <w:rFonts w:ascii="Times New Roman;Times;serif" w:hAnsi="Times New Roman;Times;serif"/>
          <w:sz w:val="15"/>
        </w:rPr>
        <w:t>®</w:t>
      </w:r>
      <w:r>
        <w:rPr>
          <w:rFonts w:ascii="Times New Roman;Times;serif" w:hAnsi="Times New Roman;Times;serif"/>
          <w:sz w:val="20"/>
        </w:rPr>
        <w:t xml:space="preserve"> was primarily related to sales made to specialty distributors and authorized treatment centers (“ATCs”) in the U.S. market to support the commercialization of Amtagvi</w:t>
      </w:r>
      <w:r>
        <w:rPr>
          <w:rFonts w:ascii="Times New Roman;Times;serif" w:hAnsi="Times New Roman;Times;serif"/>
          <w:sz w:val="15"/>
        </w:rPr>
        <w:t>®</w:t>
      </w:r>
      <w:r>
        <w:rPr>
          <w:rFonts w:ascii="Times New Roman;Times;serif" w:hAnsi="Times New Roman;Times;serif"/>
          <w:sz w:val="20"/>
        </w:rPr>
        <w:t>. Amtagvi</w:t>
      </w:r>
      <w:r>
        <w:rPr>
          <w:rFonts w:ascii="Times New Roman;Times;serif" w:hAnsi="Times New Roman;Times;serif"/>
          <w:sz w:val="15"/>
        </w:rPr>
        <w:t>®</w:t>
      </w:r>
      <w:r>
        <w:rPr>
          <w:rFonts w:ascii="Times New Roman;Times;serif" w:hAnsi="Times New Roman;Times;serif"/>
          <w:sz w:val="20"/>
        </w:rPr>
        <w:t xml:space="preserve"> revenue is recognized upon patient infusion, while Proleukin</w:t>
      </w:r>
      <w:r>
        <w:rPr>
          <w:rFonts w:ascii="Times New Roman;Times;serif" w:hAnsi="Times New Roman;Times;serif"/>
          <w:sz w:val="15"/>
        </w:rPr>
        <w:t>®</w:t>
      </w:r>
      <w:r>
        <w:rPr>
          <w:rFonts w:ascii="Times New Roman;Times;serif" w:hAnsi="Times New Roman;Times;serif"/>
          <w:sz w:val="20"/>
        </w:rPr>
        <w:t xml:space="preserve"> revenue is recognized upon transfer of control, either upon shipment or upon delivery to customers, which include specialty distributors, clinical manufacturers, research organizations, and ATCs.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bookmarkStart w:id="1455" w:name="Tc_aT5ERyOc-0mnFn9M1oxg1A_19_0"/>
      <w:bookmarkStart w:id="1456" w:name="Tc_yAzrhUrjZEqv1VvwqPTtRg_18_7"/>
      <w:bookmarkStart w:id="1457" w:name="Tc_bBAwCH2VgEqOqhb_P2pirw_18_2"/>
      <w:bookmarkStart w:id="1458" w:name="Tc_x0nD8dFVxUad-MmEEuIndg_17_0"/>
      <w:bookmarkStart w:id="1459" w:name="Tc_UbM1SywT0EyLq0vAR3KVJQ_16_7"/>
      <w:bookmarkStart w:id="1460" w:name="Tc_zGIkVk-cvkyW6w840FNKGw_16_2"/>
      <w:bookmarkStart w:id="1461" w:name="Tc_F9QnSnKa90Oe99Ep-g3uBQ_16_0"/>
      <w:bookmarkStart w:id="1462" w:name="Tc_8f05UBQkBUu6eayrK56Ulg_15_0"/>
      <w:bookmarkStart w:id="1463" w:name="Tc_1pWkBT1g9U-tDT-Wm1xzsg_14_8"/>
      <w:bookmarkStart w:id="1464" w:name="Tc_AxUgKAz0mUKAzXGkysV7qA_14_7"/>
      <w:bookmarkStart w:id="1465" w:name="Tc_oEKdGOjnr0uZfsCBO9zfSw_14_2"/>
      <w:bookmarkStart w:id="1466" w:name="Tc_GMxt2B1ksEqw3BsPzfneSw_14_0"/>
      <w:bookmarkStart w:id="1467" w:name="Tc_DI5TpPGidEK8ROnhYT3i7w_13_10"/>
      <w:bookmarkStart w:id="1468" w:name="Tc_awELf0kuHU2YYUmNpS8QEg_13_7"/>
      <w:bookmarkStart w:id="1469" w:name="Tc_gBITE0cmgkmZXvR_YKx_3Q_13_5"/>
      <w:bookmarkStart w:id="1470" w:name="Tc_iTYjoPwjRkej1AhaQ1I36Q_13_2"/>
      <w:bookmarkStart w:id="1471" w:name="Tc_tnI9FwLtMUmN1oM6V6vvtw_12_7"/>
      <w:bookmarkStart w:id="1472" w:name="Tc_qD27CrmFOUa2OY1EGpd-DA_12_2"/>
      <w:bookmarkStart w:id="1473" w:name="Tc_bpXItWm9n0a_dhhkJrlJLw_11_7"/>
      <w:bookmarkStart w:id="1474" w:name="Tc_Q_uz-bkpkECT58-bTFLFBg_11_2"/>
      <w:bookmarkStart w:id="1475" w:name="Tc_q28WNWtowE2HNM_U-E6CEQ_9_0"/>
      <w:bookmarkStart w:id="1476" w:name="Tc_zk9V2TOgi0e223djioOT1Q_8_7"/>
      <w:bookmarkStart w:id="1477" w:name="Tc_xcLEBOhcAEecaED86VN0XA_8_2"/>
      <w:bookmarkStart w:id="1478" w:name="Tc_Y9e_1HtR4UuSQZcYjMtcmA_7_0"/>
      <w:bookmarkStart w:id="1479" w:name="Tc_b0le5H-BQUS4AJg0IJYTCw_6_7"/>
      <w:bookmarkStart w:id="1480" w:name="Tc_OW2UA650QUykPoSpif9vOA_6_2"/>
      <w:bookmarkStart w:id="1481" w:name="Tc_KqymH8PayUC3Vm78dEa8MQ_6_0"/>
      <w:bookmarkStart w:id="1482" w:name="Tc_3wZNFl9OB02VcZq_7b7Z3A_5_0"/>
      <w:bookmarkStart w:id="1483" w:name="Tc_aSfiAkaYh0C-Qw2lCVTi2g_4_8"/>
      <w:bookmarkStart w:id="1484" w:name="Tc_M0fciwSQ00eoeXDeVs6V8w_4_7"/>
      <w:bookmarkStart w:id="1485" w:name="Tc_DqUTl6uWYkSQgotaklWuMw_4_3"/>
      <w:bookmarkStart w:id="1486" w:name="Tc_4Rt7BVqSlkO9Goa-Mawx7w_4_2"/>
      <w:bookmarkStart w:id="1487" w:name="Tc_auViInxJcEuccMd5BmbDQA_4_0"/>
      <w:bookmarkStart w:id="1488" w:name="Tc_v0FDtjXZNEiSThuw71vyKQ_3_10"/>
      <w:bookmarkStart w:id="1489" w:name="Tc_3b51jvrYvk-XskwcGFR3Wg_3_7"/>
      <w:bookmarkStart w:id="1490" w:name="Tc_A73uqLhhHEaY4qgA--WtMg_3_5"/>
      <w:bookmarkStart w:id="1491" w:name="Tc_S6jGDczmwUqlLMTQ9ISDAw_3_2"/>
      <w:bookmarkStart w:id="1492" w:name="Tc_KLiPpkdOsUaFo9_-9ByMbg_2_7"/>
      <w:bookmarkStart w:id="1493" w:name="Tc_8PKkTt_Vakm-0HqEy86ENg_2_2"/>
      <w:bookmarkStart w:id="1494" w:name="Tc_oM0V4Yb2vEmKaMd7qtnJkw_1_7"/>
      <w:bookmarkStart w:id="1495" w:name="Tc_ApUA_ALRdkqm2pY0l2gvgg_1_2"/>
      <w:bookmarkStart w:id="1496" w:name="_bc894813_8361_4fc5_91e5_f708a6a10528"/>
      <w:bookmarkStart w:id="1497" w:name="Tc_FHM4SMpaJE61A52hvbsa9Q_6_11"/>
      <w:bookmarkStart w:id="1498" w:name="Tc_Jrf9O8xZpUq-rQti6kYAGA_6_8"/>
      <w:bookmarkStart w:id="1499" w:name="Tc_9erV6EU-akSbN0xFlOlPMg_6_5"/>
      <w:bookmarkStart w:id="1500" w:name="Tc_dvUN8rmJdk-J4kA-nr9TKg_6_2"/>
      <w:bookmarkStart w:id="1501" w:name="Tc_baPs0tRRfkKBGmIru7IcOw_5_0"/>
      <w:bookmarkStart w:id="1502" w:name="Tc__4Jssle-Ckqn_2JeepGUHQ_4_11"/>
      <w:bookmarkStart w:id="1503" w:name="Tc_hSxg1m8JFEK884ZGpVx9mw_4_8"/>
      <w:bookmarkStart w:id="1504" w:name="Tc_PyNoqXna4EmbJWeCKtq5Yg_4_5"/>
      <w:bookmarkStart w:id="1505" w:name="Tc_XktOzDGlIUqK-LKwEAkm7A_4_2"/>
      <w:bookmarkStart w:id="1506" w:name="Tc_9H420vvvNkiKD3VsCqUBpg_4_0"/>
      <w:bookmarkStart w:id="1507" w:name="Tc_UMEhDPtLs0ayqQBG-ryb7g_3_11"/>
      <w:bookmarkStart w:id="1508" w:name="Tc_7-GO3XzmbkadHixWWYYX3A_3_8"/>
      <w:bookmarkStart w:id="1509" w:name="Tc_ec1wD7RK5ky2fzmIKUnBbA_3_5"/>
      <w:bookmarkStart w:id="1510" w:name="Tc_moGN9N18GECyCjTX1qmPTQ_3_2"/>
      <w:bookmarkStart w:id="1511" w:name="Tc_trlEiIrc3Emza912WW8YRw_2_8"/>
      <w:bookmarkStart w:id="1512" w:name="Tc_GlNQcPviqkCQGMQvWfakvQ_2_2"/>
      <w:bookmarkStart w:id="1513" w:name="Tc_u9zj_KNQrU2Y0hm3j8HnSg_1_8"/>
      <w:bookmarkStart w:id="1514" w:name="Tc_MZbfKYYmI0mi6rwSlZpsuA_1_2"/>
      <w:bookmarkStart w:id="1515" w:name="_0695a424_b5e9_42ca_ac67_5a403f8f3809"/>
      <w:bookmarkStart w:id="1516" w:name="Tc_PoEHmIxAFkuSOyKa2B1DQA_10_11"/>
      <w:bookmarkStart w:id="1517" w:name="Tc_Lo8rmSPIkEG_EQ_z3CzN_A_10_8"/>
      <w:bookmarkStart w:id="1518" w:name="Tc_8X9gfmZd6kOnCyJxHvcM0Q_10_5"/>
      <w:bookmarkStart w:id="1519" w:name="Tc_ob8Q8PAd5kafLXDmqb7e2w_10_2"/>
      <w:bookmarkStart w:id="1520" w:name="Tc_GsxIN3XX0kOGuQ586z8vfg_9_0"/>
      <w:bookmarkStart w:id="1521" w:name="Tc_mflGi2aPDkiO5E3JGFCizg_8_0"/>
      <w:bookmarkStart w:id="1522" w:name="Tc_cDlzvWSC10iemIvUO91MNQ_7_0"/>
      <w:bookmarkStart w:id="1523" w:name="Tc_4G_Mp5UBHEeiPUUOykfhAg_6_0"/>
      <w:bookmarkStart w:id="1524" w:name="Tc_LHSugudcmkWCajZgxGj56Q_5_0"/>
      <w:bookmarkStart w:id="1525" w:name="Tc_srOMuT68skau8U5grTOBFA_4_11"/>
      <w:bookmarkStart w:id="1526" w:name="Tc_DiJJk9eAd0qq5KjVzZ7ANw_4_8"/>
      <w:bookmarkStart w:id="1527" w:name="Tc_fGtBC1m8EUiFeHPA1WUQPQ_4_5"/>
      <w:bookmarkStart w:id="1528" w:name="Tc_vYGHW7aH_EmLP4dzZc_xbw_4_2"/>
      <w:bookmarkStart w:id="1529" w:name="Tc_pZb9YFEwrUSnrcK7YdZ4Gw_4_0"/>
      <w:bookmarkStart w:id="1530" w:name="Tc_0WrDMnDt1kOXhyius3f0NA_3_11"/>
      <w:bookmarkStart w:id="1531" w:name="Tc_SDnbzCfmpkeV1xvcIS7tKQ_3_8"/>
      <w:bookmarkStart w:id="1532" w:name="Tc_Y0MXrDTypkibT8pgCAkRCg_3_5"/>
      <w:bookmarkStart w:id="1533" w:name="Tc_Wr4Nt_MJw0mj7hY_XLacZQ_3_2"/>
      <w:bookmarkStart w:id="1534" w:name="Tc_0Ci5AdblS06Ul9hJbWTO-w_2_8"/>
      <w:bookmarkStart w:id="1535" w:name="Tc_KtT4rgIj8E-rSld6_gOQyg_2_2"/>
      <w:bookmarkStart w:id="1536" w:name="Tc_roZ0VZ2VKEq9zbkFmmjbbQ_1_8"/>
      <w:bookmarkStart w:id="1537" w:name="Tc_L7LFdK7X8kWg7hQWAHGeTQ_1_2"/>
      <w:bookmarkStart w:id="1538" w:name="_ff55faa6_a0c8_49b0_b5d6_b12b2f070899"/>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r>
        <w:rPr>
          <w:rFonts w:ascii="Times New Roman;Times;serif" w:hAnsi="Times New Roman;Times;serif"/>
          <w:sz w:val="20"/>
        </w:rPr>
        <w:t>Revenue from product sales was recorded net of GTN adjustments. The following table summarizes GTN adjustments for the periods presented (in thousands):</w:t>
      </w:r>
    </w:p>
    <w:tbl>
      <w:tblPr>
        <w:tblW w:w="8944" w:type="dxa"/>
        <w:jc w:val="left"/>
        <w:tblInd w:w="0" w:type="dxa"/>
        <w:tblLayout w:type="fixed"/>
        <w:tblCellMar>
          <w:top w:w="0" w:type="dxa"/>
          <w:left w:w="0" w:type="dxa"/>
          <w:bottom w:w="0" w:type="dxa"/>
          <w:right w:w="0" w:type="dxa"/>
        </w:tblCellMar>
      </w:tblPr>
      <w:tblGrid>
        <w:gridCol w:w="4066"/>
        <w:gridCol w:w="109"/>
        <w:gridCol w:w="211"/>
        <w:gridCol w:w="781"/>
        <w:gridCol w:w="346"/>
        <w:gridCol w:w="211"/>
        <w:gridCol w:w="676"/>
        <w:gridCol w:w="109"/>
        <w:gridCol w:w="211"/>
        <w:gridCol w:w="781"/>
        <w:gridCol w:w="346"/>
        <w:gridCol w:w="211"/>
        <w:gridCol w:w="886"/>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581910" cy="175260"/>
                      <wp:effectExtent l="0" t="0" r="0" b="0"/>
                      <wp:wrapNone/>
                      <wp:docPr id="189" name="Frame189"/>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95935" cy="175260"/>
                      <wp:effectExtent l="0" t="0" r="0" b="0"/>
                      <wp:wrapNone/>
                      <wp:docPr id="192" name="Frame1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9260" cy="175260"/>
                      <wp:effectExtent l="0" t="0" r="0" b="0"/>
                      <wp:wrapNone/>
                      <wp:docPr id="195" name="Frame1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95935" cy="175260"/>
                      <wp:effectExtent l="0" t="0" r="0" b="0"/>
                      <wp:wrapNone/>
                      <wp:docPr id="198" name="Frame19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62610" cy="175260"/>
                      <wp:effectExtent l="0" t="0" r="0" b="0"/>
                      <wp:wrapNone/>
                      <wp:docPr id="201" name="Frame20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222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FFFFFF" w:val="clear"/>
            <w:vAlign w:val="center"/>
          </w:tcPr>
          <w:p>
            <w:pPr>
              <w:pStyle w:val="TableContents"/>
              <w:bidi w:val="0"/>
              <w:spacing w:before="0" w:after="1"/>
              <w:ind w:left="0" w:right="0" w:hanging="0"/>
              <w:jc w:val="center"/>
              <w:rPr/>
            </w:pPr>
            <w:r>
              <w:rPr/>
              <w:t>​</w:t>
            </w:r>
          </w:p>
        </w:tc>
        <w:tc>
          <w:tcPr>
            <w:tcW w:w="2435" w:type="dxa"/>
            <w:gridSpan w:val="5"/>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6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FFFFFF" w:val="clear"/>
            <w:vAlign w:val="center"/>
          </w:tcPr>
          <w:p>
            <w:pPr>
              <w:pStyle w:val="TableContents"/>
              <w:bidi w:val="0"/>
              <w:spacing w:before="0" w:after="1"/>
              <w:ind w:left="0" w:right="0" w:hanging="0"/>
              <w:jc w:val="center"/>
              <w:rPr/>
            </w:pPr>
            <w:r>
              <w:rPr/>
              <w:t>​</w:t>
            </w:r>
          </w:p>
        </w:tc>
        <w:tc>
          <w:tcPr>
            <w:tcW w:w="243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66"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1"/>
              <w:ind w:left="0" w:right="0" w:hanging="0"/>
              <w:jc w:val="left"/>
              <w:rPr>
                <w:color w:val="FF0000"/>
              </w:rPr>
            </w:pPr>
            <w:r>
              <w:rPr>
                <w:color w:val="FF0000"/>
              </w:rPr>
              <w:t>  ​ ​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shd w:fill="FFFFFF" w:val="clear"/>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Gross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100,663</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60,866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110,519</w:t>
            </w:r>
          </w:p>
        </w:tc>
      </w:tr>
      <w:tr>
        <w:trPr/>
        <w:tc>
          <w:tcPr>
            <w:tcW w:w="40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GTN adjustments: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color w:val="FF0000"/>
              </w:rPr>
            </w:pPr>
            <w:r>
              <w:rPr>
                <w:color w:val="FF0000"/>
              </w:rPr>
              <w:t>​</w:t>
            </w:r>
          </w:p>
        </w:tc>
        <w:tc>
          <w:tcPr>
            <w:tcW w:w="676" w:type="dxa"/>
            <w:tcBorders/>
            <w:vAlign w:val="center"/>
          </w:tcPr>
          <w:p>
            <w:pPr>
              <w:pStyle w:val="TableContents"/>
              <w:bidi w:val="0"/>
              <w:spacing w:before="0" w:after="1"/>
              <w:ind w:left="0" w:right="0" w:hanging="0"/>
              <w:jc w:val="right"/>
              <w:rPr>
                <w:color w:val="FF0000"/>
              </w:rPr>
            </w:pPr>
            <w:r>
              <w:rPr>
                <w:color w:val="FF0000"/>
              </w:rPr>
              <w:t>​</w:t>
            </w:r>
          </w:p>
        </w:tc>
        <w:tc>
          <w:tcPr>
            <w:tcW w:w="109" w:type="dxa"/>
            <w:tcBorders/>
            <w:vAlign w:val="center"/>
          </w:tcPr>
          <w:p>
            <w:pPr>
              <w:pStyle w:val="TableContents"/>
              <w:bidi w:val="0"/>
              <w:spacing w:before="0" w:after="1"/>
              <w:ind w:left="0" w:right="0" w:hanging="0"/>
              <w:jc w:val="right"/>
              <w:rPr>
                <w:color w:val="FF0000"/>
              </w:rPr>
            </w:pPr>
            <w:r>
              <w:rPr>
                <w:color w:val="FF000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rebates and chargebacks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color w:val="FF0000"/>
              </w:rPr>
            </w:pPr>
            <w:r>
              <w:rPr>
                <w:color w:val="FF0000"/>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Wholesaler fees and cash discounts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vAlign w:val="center"/>
          </w:tcPr>
          <w:p>
            <w:pPr>
              <w:pStyle w:val="TableContents"/>
              <w:bidi w:val="0"/>
              <w:spacing w:before="0" w:after="1"/>
              <w:ind w:left="0" w:right="0" w:hanging="0"/>
              <w:jc w:val="left"/>
              <w:rPr>
                <w:color w:val="FF0000"/>
              </w:rPr>
            </w:pPr>
            <w:r>
              <w:rPr>
                <w:color w:val="FF0000"/>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rebates, returns, discounts and adjustments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color w:val="FF0000"/>
              </w:rPr>
            </w:pPr>
            <w:r>
              <w:rPr>
                <w:color w:val="FF0000"/>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0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GTN adjustments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4066" w:type="dxa"/>
            <w:tcBorders/>
            <w:shd w:fill="CCEEFF" w:val="clear"/>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99,313</w:t>
            </w:r>
          </w:p>
        </w:tc>
        <w:tc>
          <w:tcPr>
            <w:tcW w:w="34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109,276</w:t>
            </w:r>
          </w:p>
        </w:tc>
      </w:tr>
    </w:tbl>
    <w:p>
      <w:pPr>
        <w:pStyle w:val="TextBody"/>
        <w:bidi w:val="0"/>
        <w:spacing w:before="0" w:after="20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Consolidated net product revenue by geographic area for the periods presented is as follows (in thousands): </w:t>
      </w:r>
    </w:p>
    <w:tbl>
      <w:tblPr>
        <w:tblW w:w="6091" w:type="dxa"/>
        <w:jc w:val="left"/>
        <w:tblInd w:w="0" w:type="dxa"/>
        <w:tblLayout w:type="fixed"/>
        <w:tblCellMar>
          <w:top w:w="0" w:type="dxa"/>
          <w:left w:w="0" w:type="dxa"/>
          <w:bottom w:w="0" w:type="dxa"/>
          <w:right w:w="0" w:type="dxa"/>
        </w:tblCellMar>
      </w:tblPr>
      <w:tblGrid>
        <w:gridCol w:w="1201"/>
        <w:gridCol w:w="226"/>
        <w:gridCol w:w="211"/>
        <w:gridCol w:w="676"/>
        <w:gridCol w:w="346"/>
        <w:gridCol w:w="211"/>
        <w:gridCol w:w="676"/>
        <w:gridCol w:w="109"/>
        <w:gridCol w:w="211"/>
        <w:gridCol w:w="781"/>
        <w:gridCol w:w="346"/>
        <w:gridCol w:w="211"/>
        <w:gridCol w:w="886"/>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62635" cy="175260"/>
                      <wp:effectExtent l="0" t="0" r="0" b="0"/>
                      <wp:wrapNone/>
                      <wp:docPr id="202" name="Frame20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43510" cy="175260"/>
                      <wp:effectExtent l="0" t="0" r="0" b="0"/>
                      <wp:wrapNone/>
                      <wp:docPr id="203" name="Frame2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9260" cy="175260"/>
                      <wp:effectExtent l="0" t="0" r="0" b="0"/>
                      <wp:wrapNone/>
                      <wp:docPr id="205" name="Frame20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8" name="Frame2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260"/>
                      <wp:effectExtent l="0" t="0" r="0" b="0"/>
                      <wp:wrapNone/>
                      <wp:docPr id="211" name="Frame2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62610" cy="175260"/>
                      <wp:effectExtent l="0" t="0" r="0" b="0"/>
                      <wp:wrapNone/>
                      <wp:docPr id="214" name="Frame21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pPr>
            <w:r>
              <w:rPr/>
              <w:t>​</w:t>
            </w:r>
          </w:p>
        </w:tc>
        <w:tc>
          <w:tcPr>
            <w:tcW w:w="2120"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FFFFFF" w:val="clear"/>
            <w:vAlign w:val="center"/>
          </w:tcPr>
          <w:p>
            <w:pPr>
              <w:pStyle w:val="TableContents"/>
              <w:bidi w:val="0"/>
              <w:spacing w:before="0" w:after="0"/>
              <w:ind w:left="0" w:right="0" w:hanging="0"/>
              <w:jc w:val="center"/>
              <w:rPr/>
            </w:pPr>
            <w:r>
              <w:rPr/>
              <w:t>​</w:t>
            </w:r>
          </w:p>
        </w:tc>
        <w:tc>
          <w:tcPr>
            <w:tcW w:w="2435"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201"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pPr>
            <w:r>
              <w:rPr/>
              <w:t>  ​</w:t>
            </w:r>
          </w:p>
        </w:tc>
        <w:tc>
          <w:tcPr>
            <w:tcW w:w="212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FFFFFF" w:val="clear"/>
            <w:vAlign w:val="center"/>
          </w:tcPr>
          <w:p>
            <w:pPr>
              <w:pStyle w:val="TableContents"/>
              <w:bidi w:val="0"/>
              <w:spacing w:before="0" w:after="0"/>
              <w:ind w:left="0" w:right="0" w:hanging="0"/>
              <w:jc w:val="center"/>
              <w:rPr/>
            </w:pPr>
            <w:r>
              <w:rPr/>
              <w:t>​</w:t>
            </w:r>
          </w:p>
        </w:tc>
        <w:tc>
          <w:tcPr>
            <w:tcW w:w="243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201" w:type="dxa"/>
            <w:tcBorders/>
            <w:shd w:fill="FFFFFF" w:val="clear"/>
            <w:vAlign w:val="center"/>
          </w:tcPr>
          <w:p>
            <w:pPr>
              <w:pStyle w:val="TableContents"/>
              <w:bidi w:val="0"/>
              <w:spacing w:before="0" w:after="0"/>
              <w:ind w:left="0" w:right="0" w:hanging="0"/>
              <w:jc w:val="left"/>
              <w:rPr/>
            </w:pPr>
            <w:r>
              <w:rPr/>
              <w:t>​</w:t>
            </w:r>
          </w:p>
        </w:tc>
        <w:tc>
          <w:tcPr>
            <w:tcW w:w="226" w:type="dxa"/>
            <w:tcBorders/>
            <w:shd w:fill="FFFFFF" w:val="clear"/>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left"/>
              <w:rPr>
                <w:color w:val="FF0000"/>
              </w:rPr>
            </w:pPr>
            <w:r>
              <w:rPr>
                <w:color w:val="FF0000"/>
              </w:rPr>
              <w:t>  ​ ​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shd w:fill="FFFFFF" w:val="clear"/>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United States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98,967</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58,605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169,439</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107,125</w:t>
            </w:r>
          </w:p>
        </w:tc>
      </w:tr>
      <w:tr>
        <w:trPr/>
        <w:tc>
          <w:tcPr>
            <w:tcW w:w="12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 of world</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r>
      <w:tr>
        <w:trPr/>
        <w:tc>
          <w:tcPr>
            <w:tcW w:w="120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99,313</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109,276</w:t>
            </w:r>
          </w:p>
        </w:tc>
      </w:tr>
    </w:tbl>
    <w:p>
      <w:pPr>
        <w:pStyle w:val="TextBody"/>
        <w:bidi w:val="0"/>
        <w:spacing w:before="0" w:after="0"/>
        <w:ind w:left="0" w:right="0" w:hanging="0"/>
        <w:jc w:val="left"/>
        <w:rPr/>
      </w:pPr>
      <w:r>
        <w:rPr/>
        <w: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Net product revenue in the U.S. is comprised of Amtagvi</w:t>
      </w:r>
      <w:r>
        <w:rPr>
          <w:rFonts w:ascii="Times New Roman;Times;serif" w:hAnsi="Times New Roman;Times;serif"/>
          <w:sz w:val="15"/>
        </w:rPr>
        <w:t>®</w:t>
      </w:r>
      <w:r>
        <w:rPr>
          <w:rFonts w:ascii="Times New Roman;Times;serif" w:hAnsi="Times New Roman;Times;serif"/>
          <w:sz w:val="20"/>
        </w:rPr>
        <w:t xml:space="preserve"> revenue, as well as Proleukin</w:t>
      </w:r>
      <w:r>
        <w:rPr>
          <w:rFonts w:ascii="Times New Roman;Times;serif" w:hAnsi="Times New Roman;Times;serif"/>
          <w:sz w:val="15"/>
        </w:rPr>
        <w:t>®</w:t>
      </w:r>
      <w:r>
        <w:rPr>
          <w:rFonts w:ascii="Times New Roman;Times;serif" w:hAnsi="Times New Roman;Times;serif"/>
          <w:sz w:val="20"/>
        </w:rPr>
        <w:t xml:space="preserve"> sales to support the ongoing commercialization of Amtagvi</w:t>
      </w:r>
      <w:r>
        <w:rPr>
          <w:rFonts w:ascii="Times New Roman;Times;serif" w:hAnsi="Times New Roman;Times;serif"/>
          <w:sz w:val="15"/>
        </w:rPr>
        <w:t>®</w:t>
      </w:r>
      <w:r>
        <w:rPr>
          <w:rFonts w:ascii="Times New Roman;Times;serif" w:hAnsi="Times New Roman;Times;serif"/>
          <w:sz w:val="20"/>
        </w:rPr>
        <w:t>. Net product revenue to date for the rest of world is comprised of sales of Proleukin</w:t>
      </w:r>
      <w:r>
        <w:rPr>
          <w:rFonts w:ascii="Times New Roman;Times;serif" w:hAnsi="Times New Roman;Times;serif"/>
          <w:sz w:val="15"/>
        </w:rPr>
        <w:t>®</w:t>
      </w:r>
      <w:r>
        <w:rPr>
          <w:rFonts w:ascii="Times New Roman;Times;serif" w:hAnsi="Times New Roman;Times;serif"/>
          <w:sz w:val="20"/>
        </w:rPr>
        <w:t xml:space="preserve"> into markets outside of the U.S., primarily into European markets.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following table summarizes the amount and percentage of gross revenue attributable to customers that represented more than 10% of the Company’s gross revenue and all other customers as a group for the three and six months ended June 30, 2026 and 2025, respectively (in thousands, except percentages):</w:t>
      </w:r>
    </w:p>
    <w:tbl>
      <w:tblPr>
        <w:tblW w:w="6887" w:type="dxa"/>
        <w:jc w:val="left"/>
        <w:tblInd w:w="0" w:type="dxa"/>
        <w:tblLayout w:type="fixed"/>
        <w:tblCellMar>
          <w:top w:w="0" w:type="dxa"/>
          <w:left w:w="0" w:type="dxa"/>
          <w:bottom w:w="0" w:type="dxa"/>
          <w:right w:w="0" w:type="dxa"/>
        </w:tblCellMar>
      </w:tblPr>
      <w:tblGrid>
        <w:gridCol w:w="2896"/>
        <w:gridCol w:w="226"/>
        <w:gridCol w:w="211"/>
        <w:gridCol w:w="781"/>
        <w:gridCol w:w="109"/>
        <w:gridCol w:w="586"/>
        <w:gridCol w:w="346"/>
        <w:gridCol w:w="211"/>
        <w:gridCol w:w="781"/>
        <w:gridCol w:w="109"/>
        <w:gridCol w:w="631"/>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838960" cy="175260"/>
                      <wp:effectExtent l="0" t="0" r="0" b="0"/>
                      <wp:wrapNone/>
                      <wp:docPr id="215" name="Frame215"/>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3510" cy="175260"/>
                      <wp:effectExtent l="0" t="0" r="0" b="0"/>
                      <wp:wrapNone/>
                      <wp:docPr id="216" name="Frame2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5935" cy="175260"/>
                      <wp:effectExtent l="0" t="0" r="0" b="0"/>
                      <wp:wrapNone/>
                      <wp:docPr id="218" name="Frame2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72110" cy="175260"/>
                      <wp:effectExtent l="0" t="0" r="0" b="0"/>
                      <wp:wrapNone/>
                      <wp:docPr id="220" name="Frame22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5935" cy="175260"/>
                      <wp:effectExtent l="0" t="0" r="0" b="0"/>
                      <wp:wrapNone/>
                      <wp:docPr id="223" name="Frame2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00685" cy="175260"/>
                      <wp:effectExtent l="0" t="0" r="0" b="0"/>
                      <wp:wrapNone/>
                      <wp:docPr id="225" name="Frame22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96" w:type="dxa"/>
            <w:tcBorders/>
            <w:shd w:fill="FFFFFF" w:val="clear"/>
            <w:vAlign w:val="center"/>
          </w:tcPr>
          <w:p>
            <w:pPr>
              <w:pStyle w:val="TableContents"/>
              <w:bidi w:val="0"/>
              <w:spacing w:before="0" w:after="1"/>
              <w:ind w:left="0" w:right="0" w:hanging="0"/>
              <w:jc w:val="left"/>
              <w:rPr/>
            </w:pPr>
            <w:r>
              <w:rPr/>
              <w:t>​</w:t>
            </w:r>
          </w:p>
        </w:tc>
        <w:tc>
          <w:tcPr>
            <w:tcW w:w="226" w:type="dxa"/>
            <w:tcBorders/>
            <w:shd w:fill="FFFFFF" w:val="clear"/>
            <w:vAlign w:val="center"/>
          </w:tcPr>
          <w:p>
            <w:pPr>
              <w:pStyle w:val="TableContents"/>
              <w:bidi w:val="0"/>
              <w:spacing w:before="0" w:after="1"/>
              <w:ind w:left="0" w:right="0" w:hanging="0"/>
              <w:jc w:val="left"/>
              <w:rPr/>
            </w:pPr>
            <w:r>
              <w:rPr/>
              <w:t>​</w:t>
            </w:r>
          </w:p>
        </w:tc>
        <w:tc>
          <w:tcPr>
            <w:tcW w:w="1687" w:type="dxa"/>
            <w:gridSpan w:val="4"/>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shd w:fill="FFFFFF" w:val="clear"/>
            <w:vAlign w:val="center"/>
          </w:tcPr>
          <w:p>
            <w:pPr>
              <w:pStyle w:val="TableContents"/>
              <w:bidi w:val="0"/>
              <w:spacing w:before="0" w:after="1"/>
              <w:ind w:left="0" w:right="0" w:hanging="0"/>
              <w:jc w:val="left"/>
              <w:rPr/>
            </w:pPr>
            <w:r>
              <w:rPr/>
              <w:t>​</w:t>
            </w:r>
          </w:p>
        </w:tc>
        <w:tc>
          <w:tcPr>
            <w:tcW w:w="1732" w:type="dxa"/>
            <w:gridSpan w:val="4"/>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896" w:type="dxa"/>
            <w:tcBorders/>
            <w:shd w:fill="FFFFFF" w:val="clear"/>
            <w:vAlign w:val="center"/>
          </w:tcPr>
          <w:p>
            <w:pPr>
              <w:pStyle w:val="TableContents"/>
              <w:bidi w:val="0"/>
              <w:spacing w:before="0" w:after="1"/>
              <w:ind w:left="0" w:right="0" w:hanging="0"/>
              <w:jc w:val="left"/>
              <w:rPr/>
            </w:pPr>
            <w:r>
              <w:rPr/>
              <w:t>​</w:t>
            </w:r>
          </w:p>
        </w:tc>
        <w:tc>
          <w:tcPr>
            <w:tcW w:w="226" w:type="dxa"/>
            <w:tcBorders/>
            <w:shd w:fill="FFFFFF" w:val="clear"/>
            <w:vAlign w:val="center"/>
          </w:tcPr>
          <w:p>
            <w:pPr>
              <w:pStyle w:val="TableContents"/>
              <w:bidi w:val="0"/>
              <w:spacing w:before="0" w:after="1"/>
              <w:ind w:left="0" w:right="0" w:hanging="0"/>
              <w:jc w:val="left"/>
              <w:rPr/>
            </w:pPr>
            <w:r>
              <w:rPr/>
              <w:t>  ​</w:t>
            </w:r>
          </w:p>
        </w:tc>
        <w:tc>
          <w:tcPr>
            <w:tcW w:w="1687"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shd w:fill="FFFFFF" w:val="clear"/>
            <w:vAlign w:val="center"/>
          </w:tcPr>
          <w:p>
            <w:pPr>
              <w:pStyle w:val="TableContents"/>
              <w:bidi w:val="0"/>
              <w:spacing w:before="0" w:after="1"/>
              <w:ind w:left="0" w:right="0" w:hanging="0"/>
              <w:jc w:val="center"/>
              <w:rPr/>
            </w:pPr>
            <w:r>
              <w:rPr/>
              <w:t>  ​ ​ ​</w:t>
            </w:r>
          </w:p>
        </w:tc>
        <w:tc>
          <w:tcPr>
            <w:tcW w:w="1732" w:type="dxa"/>
            <w:gridSpan w:val="4"/>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896" w:type="dxa"/>
            <w:tcBorders/>
            <w:shd w:fill="FFFFFF" w:val="clear"/>
            <w:vAlign w:val="center"/>
          </w:tcPr>
          <w:p>
            <w:pPr>
              <w:pStyle w:val="TableContents"/>
              <w:bidi w:val="0"/>
              <w:spacing w:before="0" w:after="1"/>
              <w:ind w:left="0" w:right="0" w:hanging="0"/>
              <w:jc w:val="left"/>
              <w:rPr/>
            </w:pPr>
            <w:r>
              <w:rPr/>
              <w:t>​</w:t>
            </w:r>
          </w:p>
        </w:tc>
        <w:tc>
          <w:tcPr>
            <w:tcW w:w="226" w:type="dxa"/>
            <w:tcBorders/>
            <w:shd w:fill="FFFFFF" w:val="clear"/>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586"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63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4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customers</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100,663</w:t>
            </w:r>
          </w:p>
        </w:tc>
        <w:tc>
          <w:tcPr>
            <w:tcW w:w="109"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righ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173,206</w:t>
            </w:r>
          </w:p>
        </w:tc>
        <w:tc>
          <w:tcPr>
            <w:tcW w:w="109"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revenue</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100,663</w:t>
            </w:r>
          </w:p>
        </w:tc>
        <w:tc>
          <w:tcPr>
            <w:tcW w:w="109" w:type="dxa"/>
            <w:tcBorders/>
            <w:shd w:fill="CCEEFF" w:val="clear"/>
            <w:vAlign w:val="center"/>
          </w:tcPr>
          <w:p>
            <w:pPr>
              <w:pStyle w:val="TableContents"/>
              <w:bidi w:val="0"/>
              <w:spacing w:before="0" w:after="1"/>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173,206</w:t>
            </w:r>
          </w:p>
        </w:tc>
        <w:tc>
          <w:tcPr>
            <w:tcW w:w="109" w:type="dxa"/>
            <w:tcBorders/>
            <w:shd w:fill="CCEEFF" w:val="clear"/>
            <w:vAlign w:val="center"/>
          </w:tcPr>
          <w:p>
            <w:pPr>
              <w:pStyle w:val="TableContents"/>
              <w:bidi w:val="0"/>
              <w:spacing w:before="0" w:after="1"/>
              <w:ind w:left="0" w:right="0" w:hanging="0"/>
              <w:jc w:val="righ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GTN adjustments</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w:t>
            </w:r>
          </w:p>
        </w:tc>
        <w:tc>
          <w:tcPr>
            <w:tcW w:w="109"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(2,463)</w:t>
            </w:r>
          </w:p>
        </w:tc>
        <w:tc>
          <w:tcPr>
            <w:tcW w:w="109"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99,313</w:t>
            </w:r>
          </w:p>
        </w:tc>
        <w:tc>
          <w:tcPr>
            <w:tcW w:w="109"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170,743</w:t>
            </w:r>
          </w:p>
        </w:tc>
        <w:tc>
          <w:tcPr>
            <w:tcW w:w="109"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Represents customer below 10%</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289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58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r>
      <w:tr>
        <w:trPr/>
        <w:tc>
          <w:tcPr>
            <w:tcW w:w="28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1687"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732"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89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1687" w:type="dxa"/>
            <w:gridSpan w:val="4"/>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shd w:fill="CCEEFF" w:val="clear"/>
            <w:vAlign w:val="center"/>
          </w:tcPr>
          <w:p>
            <w:pPr>
              <w:pStyle w:val="TableContents"/>
              <w:bidi w:val="0"/>
              <w:spacing w:before="0" w:after="1"/>
              <w:ind w:left="0" w:right="0" w:hanging="0"/>
              <w:jc w:val="left"/>
              <w:rPr/>
            </w:pPr>
            <w:r>
              <w:rPr/>
              <w:t>  ​ ​ ​</w:t>
            </w:r>
          </w:p>
        </w:tc>
        <w:tc>
          <w:tcPr>
            <w:tcW w:w="1732" w:type="dxa"/>
            <w:gridSpan w:val="4"/>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289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6,556</w:t>
            </w:r>
          </w:p>
        </w:tc>
        <w:tc>
          <w:tcPr>
            <w:tcW w:w="109"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customers</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54,310</w:t>
            </w:r>
          </w:p>
        </w:tc>
        <w:tc>
          <w:tcPr>
            <w:tcW w:w="109" w:type="dxa"/>
            <w:tcBorders/>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110,519</w:t>
            </w:r>
          </w:p>
        </w:tc>
        <w:tc>
          <w:tcPr>
            <w:tcW w:w="109" w:type="dxa"/>
            <w:tcBorders/>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revenue</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60,866</w:t>
            </w:r>
          </w:p>
        </w:tc>
        <w:tc>
          <w:tcPr>
            <w:tcW w:w="109" w:type="dxa"/>
            <w:tcBorders/>
            <w:shd w:fill="CCEEFF" w:val="clear"/>
            <w:vAlign w:val="center"/>
          </w:tcPr>
          <w:p>
            <w:pPr>
              <w:pStyle w:val="TableContents"/>
              <w:bidi w:val="0"/>
              <w:spacing w:before="0" w:after="1"/>
              <w:ind w:left="0" w:right="0" w:hanging="0"/>
              <w:jc w:val="righ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110,519</w:t>
            </w:r>
          </w:p>
        </w:tc>
        <w:tc>
          <w:tcPr>
            <w:tcW w:w="109" w:type="dxa"/>
            <w:tcBorders/>
            <w:shd w:fill="CCEEFF" w:val="clear"/>
            <w:vAlign w:val="center"/>
          </w:tcPr>
          <w:p>
            <w:pPr>
              <w:pStyle w:val="TableContents"/>
              <w:bidi w:val="0"/>
              <w:spacing w:before="0" w:after="1"/>
              <w:ind w:left="0" w:right="0" w:hanging="0"/>
              <w:jc w:val="right"/>
              <w:rPr/>
            </w:pPr>
            <w:r>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GTN adjustments</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c>
          <w:tcPr>
            <w:tcW w:w="109" w:type="dxa"/>
            <w:tcBorders/>
            <w:vAlign w:val="center"/>
          </w:tcPr>
          <w:p>
            <w:pPr>
              <w:pStyle w:val="TableContents"/>
              <w:bidi w:val="0"/>
              <w:spacing w:before="0" w:after="1"/>
              <w:ind w:left="0" w:right="0" w:hanging="0"/>
              <w:jc w:val="righ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09"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289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1"/>
              <w:ind w:left="0" w:right="0" w:hanging="0"/>
              <w:jc w:val="righ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109,276</w:t>
            </w:r>
          </w:p>
        </w:tc>
        <w:tc>
          <w:tcPr>
            <w:tcW w:w="109" w:type="dxa"/>
            <w:tcBorders/>
            <w:shd w:fill="CCEEFF" w:val="clear"/>
            <w:vAlign w:val="center"/>
          </w:tcPr>
          <w:p>
            <w:pPr>
              <w:pStyle w:val="TableContents"/>
              <w:bidi w:val="0"/>
              <w:spacing w:before="0" w:after="1"/>
              <w:ind w:left="0" w:right="0" w:hanging="0"/>
              <w:jc w:val="righ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289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Represents customer below 10%</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539" w:name="Tc_cI6Z744KgEmYN_gG0MNdTQ_13_5"/>
      <w:bookmarkStart w:id="1540" w:name="Tc_4cBot2dYZEOyq3b2OEjvWA_13_2"/>
      <w:bookmarkStart w:id="1541" w:name="Tc_6rSrP3OCK0O0qMH3KsOM4Q_13_0"/>
      <w:bookmarkStart w:id="1542" w:name="Tc_A_o9jaGi702ADEpS1eleWw_12_0"/>
      <w:bookmarkStart w:id="1543" w:name="Tc_vaNcDKSkJUCQ9Y7MsQ8zaw_11_5"/>
      <w:bookmarkStart w:id="1544" w:name="Tc_S28qVRyVfkS3vlslfEtZvA_11_2"/>
      <w:bookmarkStart w:id="1545" w:name="Tc_JBIUoHRVtEKzj-aJ1UMe7A_11_0"/>
      <w:bookmarkStart w:id="1546" w:name="Tc_aP2RWARim0SCbMy1DF1FZg_10_0"/>
      <w:bookmarkStart w:id="1547" w:name="Tc_i3uzJrbaF0CcynCSbsKr6g_9_0"/>
      <w:bookmarkStart w:id="1548" w:name="Tc_T2FcwvS1PkmLc-jkmGPTMg_8_0"/>
      <w:bookmarkStart w:id="1549" w:name="Tc_6B5_VbrToUqZLcWrDtVvsg_7_0"/>
      <w:bookmarkStart w:id="1550" w:name="Tc_jxda5S54wUCzOAPNsSfihw_6_0"/>
      <w:bookmarkStart w:id="1551" w:name="Tc_O4MI-mGgmkOm6tmwRYrqEA_5_0"/>
      <w:bookmarkStart w:id="1552" w:name="Tc_l73tFT9tKEKQu4Nv3DwDqw_4_0"/>
      <w:bookmarkStart w:id="1553" w:name="Tc_Mjx-w9PB-kqx5VsQl140Qg_3_5"/>
      <w:bookmarkStart w:id="1554" w:name="Tc_umVTTYxY80CWSN3I3X8tkw_3_2"/>
      <w:bookmarkStart w:id="1555" w:name="Tc_cgz8n_RFkU6hJ4-dUXoQQQ_3_0"/>
      <w:bookmarkStart w:id="1556" w:name="Tc_63iihtCIr0av2Jblk5buTQ_2_5"/>
      <w:bookmarkStart w:id="1557" w:name="Tc_7vdCxNvqzESOH8LWRyX4oQ_2_2"/>
      <w:bookmarkStart w:id="1558" w:name="Tc_yBzXcKSA_0a0WDDeSYOeCw_1_5"/>
      <w:bookmarkStart w:id="1559" w:name="Tc_xaUE2tLK206w5eWsgPCrDw_1_2"/>
      <w:bookmarkStart w:id="1560" w:name="_6e7fdfd1_6685_4110_8776_747f548017f9"/>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r>
        <w:rPr>
          <w:rFonts w:ascii="Times New Roman;Times;serif" w:hAnsi="Times New Roman;Times;serif"/>
          <w:b/>
          <w:sz w:val="20"/>
        </w:rPr>
        <w:t>NOTE 7. PROPERTY AND EQUIPMENT, NET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Property and equipment, net consists of the following (in thousands):</w:t>
      </w:r>
    </w:p>
    <w:p>
      <w:pPr>
        <w:pStyle w:val="TextBody"/>
        <w:bidi w:val="0"/>
        <w:spacing w:before="0" w:after="200"/>
        <w:ind w:left="0" w:right="0" w:firstLine="547"/>
        <w:jc w:val="left"/>
        <w:rPr/>
      </w:pPr>
      <w:r>
        <w:rPr/>
        <w:t>​</w:t>
      </w:r>
    </w:p>
    <w:tbl>
      <w:tblPr>
        <w:tblW w:w="7040" w:type="dxa"/>
        <w:jc w:val="left"/>
        <w:tblInd w:w="0" w:type="dxa"/>
        <w:tblLayout w:type="fixed"/>
        <w:tblCellMar>
          <w:top w:w="0" w:type="dxa"/>
          <w:left w:w="0" w:type="dxa"/>
          <w:bottom w:w="0" w:type="dxa"/>
          <w:right w:w="0" w:type="dxa"/>
        </w:tblCellMar>
      </w:tblPr>
      <w:tblGrid>
        <w:gridCol w:w="4156"/>
        <w:gridCol w:w="346"/>
        <w:gridCol w:w="211"/>
        <w:gridCol w:w="796"/>
        <w:gridCol w:w="346"/>
        <w:gridCol w:w="228"/>
        <w:gridCol w:w="957"/>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639060" cy="175260"/>
                      <wp:effectExtent l="0" t="0" r="0" b="0"/>
                      <wp:wrapNone/>
                      <wp:docPr id="226" name="Frame226"/>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9" name="Frame2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44780" cy="175260"/>
                      <wp:effectExtent l="0" t="0" r="0" b="0"/>
                      <wp:wrapNone/>
                      <wp:docPr id="231" name="Frame23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07695" cy="175260"/>
                      <wp:effectExtent l="0" t="0" r="0" b="0"/>
                      <wp:wrapNone/>
                      <wp:docPr id="232" name="Frame232"/>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128,894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90,385</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 process, and validation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31,994</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31,499</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Utility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7,289</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2,573</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2,384</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5,556</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35,649</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187,852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179,882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(56,388)</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(48,770)</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131,464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131,112</w:t>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bookmarkStart w:id="1561" w:name="Tc_SJOg_noCYkydjwfs0d9NFQ_10_5"/>
      <w:bookmarkStart w:id="1562" w:name="Tc_tPz3CKGpPU2qRhuKJYd66A_10_2"/>
      <w:bookmarkStart w:id="1563" w:name="Tc_s74kZTpC206EpYhE6MYR5Q_10_0"/>
      <w:bookmarkStart w:id="1564" w:name="Tc_EKsyXu0ZVEqpMxrZv562sQ_9_0"/>
      <w:bookmarkStart w:id="1565" w:name="Tc_G33D_cLPXEy8oVhjL0X5nA_8_0"/>
      <w:bookmarkStart w:id="1566" w:name="Tc_6w0BJ2H_xkeY4T6WnUjVhA_7_0"/>
      <w:bookmarkStart w:id="1567" w:name="Tc_CjdWpwEe_EONijxkXPdV7g_6_0"/>
      <w:bookmarkStart w:id="1568" w:name="Tc_ggdUG4_EQEmRer4Lj4jVaw_5_0"/>
      <w:bookmarkStart w:id="1569" w:name="Tc_AipCo9B_OEqs1OgCFI6yMg_4_0"/>
      <w:bookmarkStart w:id="1570" w:name="Tc_eofHvBfDAUiVwvk6yccXKg_3_5"/>
      <w:bookmarkStart w:id="1571" w:name="Tc_VHp-vWJv0k-ubMHh7Pr-zw_3_2"/>
      <w:bookmarkStart w:id="1572" w:name="Tc_PszAk9B53UyBzzNEZgYn3g_3_0"/>
      <w:bookmarkStart w:id="1573" w:name="Tc_5vlUATKuIECZ_-r43riixQ_2_5"/>
      <w:bookmarkStart w:id="1574" w:name="Tc_zC7IOA_d5EWR1kFK_nZ-LA_2_2"/>
      <w:bookmarkStart w:id="1575" w:name="Tc_10Tc3y_HbEGf6LQEINFq_A_1_5"/>
      <w:bookmarkStart w:id="1576" w:name="Tc_QiAgzNxDIkWSEXgToYVVeg_1_2"/>
      <w:bookmarkStart w:id="1577" w:name="_08f40c93_8eaf_4012_98e1_1d4557be0542"/>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r>
        <w:rPr>
          <w:rFonts w:ascii="Times New Roman;Times;serif" w:hAnsi="Times New Roman;Times;serif"/>
          <w:b/>
          <w:sz w:val="20"/>
        </w:rPr>
        <w:t>NOTE 8. ACCRUED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200"/>
        <w:ind w:left="0" w:right="0" w:firstLine="547"/>
        <w:jc w:val="left"/>
        <w:rPr/>
      </w:pPr>
      <w:r>
        <w:rPr/>
        <w:t>​</w:t>
      </w:r>
    </w:p>
    <w:tbl>
      <w:tblPr>
        <w:tblW w:w="6518" w:type="dxa"/>
        <w:jc w:val="left"/>
        <w:tblInd w:w="0" w:type="dxa"/>
        <w:tblLayout w:type="fixed"/>
        <w:tblCellMar>
          <w:top w:w="0" w:type="dxa"/>
          <w:left w:w="0" w:type="dxa"/>
          <w:bottom w:w="0" w:type="dxa"/>
          <w:right w:w="0" w:type="dxa"/>
        </w:tblCellMar>
      </w:tblPr>
      <w:tblGrid>
        <w:gridCol w:w="3991"/>
        <w:gridCol w:w="109"/>
        <w:gridCol w:w="211"/>
        <w:gridCol w:w="676"/>
        <w:gridCol w:w="346"/>
        <w:gridCol w:w="228"/>
        <w:gridCol w:w="957"/>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34285" cy="175260"/>
                      <wp:effectExtent l="0" t="0" r="0" b="0"/>
                      <wp:wrapNone/>
                      <wp:docPr id="233" name="Frame23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29260" cy="175260"/>
                      <wp:effectExtent l="0" t="0" r="0" b="0"/>
                      <wp:wrapNone/>
                      <wp:docPr id="236"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44780" cy="175260"/>
                      <wp:effectExtent l="0" t="0" r="0" b="0"/>
                      <wp:wrapNone/>
                      <wp:docPr id="238" name="Frame23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07695" cy="175260"/>
                      <wp:effectExtent l="0" t="0" r="0" b="0"/>
                      <wp:wrapNone/>
                      <wp:docPr id="239" name="Frame239"/>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employee related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related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17,049</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center"/>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32,788</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related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18,018</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related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6,447</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related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and distribution related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11,662</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13,574</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5,133</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77,964</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111,156</w:t>
            </w:r>
          </w:p>
        </w:tc>
      </w:tr>
    </w:tbl>
    <w:p>
      <w:pPr>
        <w:pStyle w:val="TextBody"/>
        <w:bidi w:val="0"/>
        <w:spacing w:before="0" w:after="200"/>
        <w:ind w:left="0" w:right="0" w:firstLine="547"/>
        <w:jc w:val="left"/>
        <w:rPr/>
      </w:pPr>
      <w:r>
        <w:rPr/>
        <w:t>​</w:t>
      </w:r>
    </w:p>
    <w:p>
      <w:pPr>
        <w:pStyle w:val="TextBody"/>
        <w:bidi w:val="0"/>
        <w:spacing w:before="200" w:after="200"/>
        <w:ind w:left="0" w:right="0" w:hanging="0"/>
        <w:jc w:val="left"/>
        <w:rPr>
          <w:rFonts w:ascii="Times New Roman;Times;serif" w:hAnsi="Times New Roman;Times;serif"/>
          <w:b/>
          <w:sz w:val="20"/>
        </w:rPr>
      </w:pPr>
      <w:r>
        <w:rPr>
          <w:rFonts w:ascii="Times New Roman;Times;serif" w:hAnsi="Times New Roman;Times;serif"/>
          <w:b/>
          <w:sz w:val="20"/>
        </w:rPr>
        <w:t>NOTE 9. STOCKHOLDERS’ EQUITY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certificate of incorporation, as amended, authorizes the issuance of up to 650,000,000 shares of the Company’s common stock, par value $0.000041666. As of June 30, 2026, 452,971,016 shares of the Company’s common stock were issued and outstanding.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 the Market Offering Program</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August 22, 2025, the Company entered into an Amended and Restated Open Market Sale Agreement (the “2025 Sale Agreement”) with Jefferies. Under the terms of the 2025 Sale Agreement, the Company may, from time to time, in its sole discretion, issue and sell through Jefferies, acting as a sales agent, up to $350.0 million of shares of the Company’s common stock (the “Common Shares”). The issuance and sale of approximately $260.3 million of Common Shares by the Company under the 2025 Sale Agreement was made pursuant to a prospectus supplement dated August 22, 2025 to the Company’s Registration Statement on Form S-3ASR, filed with the SEC on June 16, 2023. On June 18, 2026, the Company filed a new Registration Statement on Form S-3ASR with the SEC, which became effective immediately upon filing. In connection therewith, the issuance and sale, if any, of up to approximately $89.7 million of Common Shares by the Company under the 2025 Sale Agreement is being made pursuant to a prospectus supplement dated June 18, 2026 to the Company’s new Registration Statement on Form S-3ASR.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Pursuant to the 2025 Sale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2025 Sale Agreement.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is not obligated to make any sales of Common Shares under the 2025 Sale Agreement. The offering of Common Shares pursuant to the 2025 Sale Agreement will terminate upon the earlier to occur of (i) the issuance and sale, through Jefferies, of all Common Shares subject to the 2025 Sale Agreement and (ii) termination of the 2025 Sale Agreement in accordance with its terms.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the quarter ended June 30, 2026, the Company raised approximately $49.6 million in net proceeds, through the sale of 14,000,743 shares of common stock pursuant to the 2025 Sale Agreement at a weighted average price per share of $3.61. For the quarter ended June 30, 2025, the Company raised approximately $13.1 million in net proceeds, after offering costs, through the sale of 7,303,645 shares of common stock pursuant to the 2023 Sale Agreement at a weighted average price per share of $1.83.</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certificate of incorporation authorizes the issuance of up to 50,000,000 shares of “blank check” preferred stock. As of June 30, 2026, 17,000 shares were designated as Series A Convertible Preferred Stock and 11,500,000 shares were designated as Series B Convertible Preferred Stock.</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During the six months ended June 30, 2026, and 2025, no shares of Series A Convertible Preferred Stock were converted into shares of common stock. As of June 30, 2026 and December 31, 2025, 194 shares of Series A Convertible Preferred Stock (that are convertible into 97,000 shares of common stock) remained outstanding.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Series B Convertible Preferred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During the six months ended June 30, 2026, no shares of Series B Convertible Preferred Stock were converted into shares of common stock. During the six months ended June 30, 2025, 909,491 shares of Series B Convertible Preferred Stock were converted into 909,491 shares of common stock. As of June 30, 2026 and December 31, 2025, 1,932,667 shares of Series B Preferred Stock (that are convertible into 1,932,667 shares of common stock) remained outstanding.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 xml:space="preserve">The Company has multiple equity incentive plans under which it grants awards. </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As of June 11, 2024, the Company’s stockholders approved the termination of the 2014 Equity Incentive Plan (the “2014 Plan”). In addition, the Company’s stockholders approved the recapture by the 2018 Equity Incentive Plan (the “2018 Plan”) of awards granted under the 2014 Plan that expire, terminate, or are cancelled or forfeited without being settled, vested, or exercised after the stockholders’ approval.</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Additionally on June 10, 2022, the Company’s stockholders approved an amendment to the 2018 Plan to increase the number of shares available for issuance upon the exercise of stock options under the 2018 Plan from 14,000,000 to 20,700,000 shares, which became effective immediately. On June 6, 2023, the Company’s stockholders approved an amendment to the 2018 Plan to increase the number of shares available for issuance under the 2018 Plan from 20,700,000 to 29,700,000 shares, which became effective immediately. On June 11, 2024, the Company’s stockholders approved an amendment to the 2018 Plan to increase the number of shares available for issuance under the 2018 Plan from 29,700,000 to 36,700,000 shares and permit share recapture from the 2014 Plan, which became effective immediately. On June 10, 2025, the Company’s stockholders approved an amendment to the 2018 Plan to increase the number of shares available for issuance under the 2018 Plan from 36,700,000 to 49,200,000 shares and permit share recapture from the 2014 Plan, which became effective immediately. As of June 30, 2026, 12,928,758 shares of common stock were available for grant under the 2018 Plan, including shares recaptured from the 2014 Plan.</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pStyle w:val="TextBody"/>
        <w:bidi w:val="0"/>
        <w:spacing w:before="0" w:after="200"/>
        <w:ind w:left="0" w:right="0" w:firstLine="540"/>
        <w:jc w:val="left"/>
        <w:rPr>
          <w:rFonts w:ascii="Times New Roman;Times;serif" w:hAnsi="Times New Roman;Times;serif"/>
          <w:sz w:val="20"/>
        </w:rPr>
      </w:pPr>
      <w:r>
        <w:rPr>
          <w:rFonts w:ascii="Times New Roman;Times;serif" w:hAnsi="Times New Roman;Times;serif"/>
          <w:sz w:val="20"/>
        </w:rPr>
        <w:t xml:space="preserve">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xml:space="preserve">The Compensation Committee approved additional amendments to the 2021 Inducement Plan solely to increase the number of shares reserved for issuance under the 2021 Inducement Plan from 1,750,000 to 2,250,000 shares of the Company’s common stock on March 13, 2023 from 2,250,000 to 2,750,000 shares of the Company’s common stock on February 26, 2024, from 2,750,000 shares to 4,750,000 shares on November 22, 2024, and from 4,750,000 shares to 6,000,000 shares on April 10, 2026, without stockholder approval pursuant to Rule 5635(c)(4) of the Nasdaq Listing Rules. 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578" w:name="Tc_BMWmcqY9F0KJZwTZ6hlymw_12_9"/>
      <w:bookmarkStart w:id="1579" w:name="Tc_EecJ3alKK02VrOjtNd3Ktg_12_4"/>
      <w:bookmarkStart w:id="1580" w:name="Tc_1_e1jA0rI025SQqQCLSAyA_12_0"/>
      <w:bookmarkStart w:id="1581" w:name="Tc_1JFR0Vnvok-8rzzHfwFo2w_11_9"/>
      <w:bookmarkStart w:id="1582" w:name="Tc_W2WKXkeODE2pmLd09r3CFw_11_4"/>
      <w:bookmarkStart w:id="1583" w:name="Tc_bPDeHQIF8EaXQNZhW3mtzw_11_0"/>
      <w:bookmarkStart w:id="1584" w:name="Tc_CsuKWUz55EaHyViRz0Wu4A_10_9"/>
      <w:bookmarkStart w:id="1585" w:name="Tc_h0pE6FUobEiS_DpKvqvMmA_10_4"/>
      <w:bookmarkStart w:id="1586" w:name="Tc_TwVSRenpY0aOJDTXmWdsgA_10_0"/>
      <w:bookmarkStart w:id="1587" w:name="Tc_J-KirIKEFEeG1-9EK0H76w_9_0"/>
      <w:bookmarkStart w:id="1588" w:name="Tc__XlzvVw06Uy-dUDnsFebHw_8_0"/>
      <w:bookmarkStart w:id="1589" w:name="Tc_Y0BdNkCohk20_XGkrHMunw_7_0"/>
      <w:bookmarkStart w:id="1590" w:name="Tc_uYlMlxhsbk-EUDR9dJUUBw_6_4"/>
      <w:bookmarkStart w:id="1591" w:name="Tc_83ehaOuczku47Rs0cdxQQQ_6_0"/>
      <w:bookmarkStart w:id="1592" w:name="Tc_vu1dqEnDNU2aP7aTpkcTyg_5_9"/>
      <w:bookmarkStart w:id="1593" w:name="Tc_HkQS12gqdU2hQUB4LnZfYw_5_7"/>
      <w:bookmarkStart w:id="1594" w:name="Tc_d8v3qYGm9kOmv0urucJE2g_5_4"/>
      <w:bookmarkStart w:id="1595" w:name="Tc_3y-Nkco_PkyRJswQ631BdA_5_2"/>
      <w:bookmarkStart w:id="1596" w:name="Tc_6OTs0dIkyUmCr83kyzexNQ_4_9"/>
      <w:bookmarkStart w:id="1597" w:name="Tc_BnSF1BNZlk-8lDjmwwtMjA_4_7"/>
      <w:bookmarkStart w:id="1598" w:name="Tc_o-LulQFS1UWLZfSClugiFw_4_4"/>
      <w:bookmarkStart w:id="1599" w:name="Tc_IiuP9Qkz0EySrmrSda4bkw_4_2"/>
      <w:bookmarkStart w:id="1600" w:name="Tc_kywxFrPM_kyCTx8iYVfV7A_3_9"/>
      <w:bookmarkStart w:id="1601" w:name="Tc_UYO0KNz-vkak3mehoBDClQ_3_7"/>
      <w:bookmarkStart w:id="1602" w:name="Tc_dvq6UXFrhEy0zlB-XVtJvA_3_4"/>
      <w:bookmarkStart w:id="1603" w:name="Tc_ZzGlT7r6k02pW4N1Z2xLzg_3_2"/>
      <w:bookmarkStart w:id="1604" w:name="Tc_ALCr6XdIu06cMVegLSt6fA_2_7"/>
      <w:bookmarkStart w:id="1605" w:name="Tc_5vgM5cIPM02m7Z2QxNu7iw_2_4"/>
      <w:bookmarkStart w:id="1606" w:name="Tc_ZbjyA5vyQEOjqD7UUYdNQA_1_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r>
        <w:rPr>
          <w:rFonts w:ascii="Times New Roman;Times;serif" w:hAnsi="Times New Roman;Times;serif"/>
          <w:sz w:val="20"/>
        </w:rPr>
        <w:t>Company). As of June 30, 2026, 1,149,935 shares of the Company’s common stock were available for grant under the Inducement Plan.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 summary of the status of stock options as of June 30, 2026 and the changes during the six months ended June 30, 2026 are presented in the following table:</w:t>
      </w:r>
    </w:p>
    <w:p>
      <w:pPr>
        <w:pStyle w:val="TextBody"/>
        <w:bidi w:val="0"/>
        <w:spacing w:before="0" w:after="200"/>
        <w:ind w:left="0" w:right="0" w:firstLine="547"/>
        <w:jc w:val="left"/>
        <w:rPr/>
      </w:pPr>
      <w:r>
        <w:rPr/>
        <w:t>​</w:t>
      </w:r>
    </w:p>
    <w:tbl>
      <w:tblPr>
        <w:tblW w:w="9760" w:type="dxa"/>
        <w:jc w:val="left"/>
        <w:tblInd w:w="0" w:type="dxa"/>
        <w:tblLayout w:type="fixed"/>
        <w:tblCellMar>
          <w:top w:w="0" w:type="dxa"/>
          <w:left w:w="0" w:type="dxa"/>
          <w:bottom w:w="0" w:type="dxa"/>
          <w:right w:w="0" w:type="dxa"/>
        </w:tblCellMar>
      </w:tblPr>
      <w:tblGrid>
        <w:gridCol w:w="4381"/>
        <w:gridCol w:w="346"/>
        <w:gridCol w:w="1036"/>
        <w:gridCol w:w="346"/>
        <w:gridCol w:w="214"/>
        <w:gridCol w:w="582"/>
        <w:gridCol w:w="346"/>
        <w:gridCol w:w="976"/>
        <w:gridCol w:w="346"/>
        <w:gridCol w:w="211"/>
        <w:gridCol w:w="97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781935" cy="175260"/>
                      <wp:effectExtent l="0" t="0" r="0" b="0"/>
                      <wp:wrapNone/>
                      <wp:docPr id="240" name="Frame240"/>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57860" cy="175260"/>
                      <wp:effectExtent l="0" t="0" r="0" b="0"/>
                      <wp:wrapNone/>
                      <wp:docPr id="242" name="Frame2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5890" cy="175260"/>
                      <wp:effectExtent l="0" t="0" r="0" b="0"/>
                      <wp:wrapNone/>
                      <wp:docPr id="244" name="Frame24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69570" cy="175260"/>
                      <wp:effectExtent l="0" t="0" r="0" b="0"/>
                      <wp:wrapNone/>
                      <wp:docPr id="245" name="Frame245"/>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19760" cy="175260"/>
                      <wp:effectExtent l="0" t="0" r="0" b="0"/>
                      <wp:wrapNone/>
                      <wp:docPr id="247" name="Frame24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19760" cy="175260"/>
                      <wp:effectExtent l="0" t="0" r="0" b="0"/>
                      <wp:wrapNone/>
                      <wp:docPr id="250" name="Frame25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 </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w:t>
            </w:r>
          </w:p>
        </w:tc>
        <w:tc>
          <w:tcPr>
            <w:tcW w:w="346" w:type="dxa"/>
            <w:tcBorders/>
            <w:vAlign w:val="center"/>
          </w:tcPr>
          <w:p>
            <w:pPr>
              <w:pStyle w:val="TableContents"/>
              <w:bidi w:val="0"/>
              <w:spacing w:before="0" w:after="1"/>
              <w:ind w:left="0" w:right="0" w:hanging="0"/>
              <w:jc w:val="left"/>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18,025,891</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508,660</w:t>
            </w:r>
          </w:p>
        </w:tc>
        <w:tc>
          <w:tcPr>
            <w:tcW w:w="34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(8,632)</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Expired/Cancelled</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(959,598)</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12.55</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17,566,321</w:t>
            </w:r>
          </w:p>
        </w:tc>
        <w:tc>
          <w:tcPr>
            <w:tcW w:w="346" w:type="dxa"/>
            <w:tcBorders/>
            <w:shd w:fill="CCEEFF" w:val="clear"/>
            <w:vAlign w:val="center"/>
          </w:tcPr>
          <w:p>
            <w:pPr>
              <w:pStyle w:val="TableContents"/>
              <w:bidi w:val="0"/>
              <w:spacing w:before="0" w:after="1"/>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3,999,471</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vested and expected to vest at June 30, 2026</w:t>
            </w:r>
          </w:p>
        </w:tc>
        <w:tc>
          <w:tcPr>
            <w:tcW w:w="34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17,566,321</w:t>
            </w:r>
          </w:p>
        </w:tc>
        <w:tc>
          <w:tcPr>
            <w:tcW w:w="34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3,999,471</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exercisable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14,570,654</w:t>
            </w:r>
          </w:p>
        </w:tc>
        <w:tc>
          <w:tcPr>
            <w:tcW w:w="34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17.08</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662,461</w:t>
            </w:r>
          </w:p>
        </w:tc>
      </w:tr>
    </w:tbl>
    <w:p>
      <w:pPr>
        <w:pStyle w:val="TextBody"/>
        <w:bidi w:val="0"/>
        <w:spacing w:before="0" w:after="20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2026, there was $7.6 million of total unrecognized compensation expense related to unvested employee stock options. The unrecognized compensation expense is estimated to be recognized over a period of 1.96 years as of June 30, 2026. The weighted average grant date fair value for employee options granted under the Company’s stock option plans during the six months ended June 30, 2026, was $2.61 per option.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aggregate intrinsic value in the table above reflects the total pre-tax intrinsic value (the difference between the Company’s closing stock price on the last trading day of the quarter ended June 30, 2026 and the exercise price of the options, multiplied by the number of in-the-money stock options) that would have been received by the option holders had all option holders exercised their options on June 30, 2026. The intrinsic value of the Company’s stock options changes based on the closing price of the Company’s common stock.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June 2020, the Company adopted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to increase the number of shares reserved for issuance under the 2020 ESPP from 500,000 shares of the Company’s common stock to 1,400,000 shares of the Company’s common stock, which became effective immediately. On June 11, 2024, the Company's stockholders approved an amendment to the 2020 ESPP, to increase the number of shares reserved for issuance under the 2020 ESPP from 1,400,000 to 1,900,000 shares of the Company’s common stock, which became effective immediately. On June 10, 2025, the Company’s stockholders approved an amendment to the 2020 ESPP, to increase the number of shares reserved for issuance under the 2020 ESPP from 1,900,000 to 2,900,000 shares of the Company’s common stock, which became effective immediately. On June 10, 2026, the Company’s stockholders approved an amendment to the 2020 ESPP, to increase the number of shares reserved for issuance under the 2020 ESPP from 2,900,000 to 3,900,000 shares of the Company’s common stock, which became effective immediately.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compensation expense related to the 2020 ESPP for the three and six months ended June 30, 2026 was $0.2 million and $0.5 million, respectively. The compensation expense related to the 2020 ESPP for the three and six months ended June 30, 2025 was $0.3 million and $0.7 million, respectively. As of June 30, 2026, there was $0.8 million of unrecognized compensation cost associated with the 2020 ESPP, which is expected to be recognized over the remaining 5.4 months.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bookmarkStart w:id="1607" w:name="Tc_BQD0rR97REShX_Fx9zdfVg_7_11"/>
      <w:bookmarkStart w:id="1608" w:name="Tc__smyQ7vkKkCAcUD_AmzxNA_7_8"/>
      <w:bookmarkStart w:id="1609" w:name="Tc_qW9eNKGk5EGl_zlEVWJsVQ_7_5"/>
      <w:bookmarkStart w:id="1610" w:name="Tc_vxLEBhmS10eaNCgzHXNtEA_7_2"/>
      <w:bookmarkStart w:id="1611" w:name="Tc_r1hJgVpmU06kshFk_L7Y3A_7_0"/>
      <w:bookmarkStart w:id="1612" w:name="Tc_ywAeUwxEkkODns5KEt9Mdw_6_0"/>
      <w:bookmarkStart w:id="1613" w:name="Tc_8ZpHDH9o9EGHFWqEs2atuQ_5_0"/>
      <w:bookmarkStart w:id="1614" w:name="Tc_S1hayBLp2Emm8zMiv_e4HA_4_11"/>
      <w:bookmarkStart w:id="1615" w:name="Tc_o6v_hIxMCkiEsF4GZN9ENA_4_8"/>
      <w:bookmarkStart w:id="1616" w:name="Tc_DQHm3Vzi20ao_FR1RK0X9A_4_5"/>
      <w:bookmarkStart w:id="1617" w:name="Tc_VyQy1Oa2BkCnpTSJZyMAVQ_4_2"/>
      <w:bookmarkStart w:id="1618" w:name="Tc_RaFpVnBDsEGbc9Nj_a03Eg_4_0"/>
      <w:bookmarkStart w:id="1619" w:name="Tc_A54533V-i0OLJ3jqMh0xNA_3_11"/>
      <w:bookmarkStart w:id="1620" w:name="Tc_52kGU3JsiUqadCcLxawOoA_3_8"/>
      <w:bookmarkStart w:id="1621" w:name="Tc_tI-QCw0lPE6L5xfcdp6WJQ_3_5"/>
      <w:bookmarkStart w:id="1622" w:name="Tc_63I_01MSIk6H3suiz3Ksfg_3_2"/>
      <w:bookmarkStart w:id="1623" w:name="Tc_q_P8R1tHkUem5VJjd6q3sg_2_8"/>
      <w:bookmarkStart w:id="1624" w:name="Tc_vY2WMtUU3k-uY2JTKfDBtw_2_2"/>
      <w:bookmarkStart w:id="1625" w:name="Tc_VrF_8-taY0WNUpaXXtfgHg_1_8"/>
      <w:bookmarkStart w:id="1626" w:name="Tc_ofia-I09gEqm-qSawZ6-7A_1_2"/>
      <w:bookmarkStart w:id="1627" w:name="_8baa26be_a1a0_43d7_a261_1021d83a3e93"/>
      <w:bookmarkStart w:id="1628" w:name="Tc_YJBpioRpdkS0lgXSWrYk1Q_10_4"/>
      <w:bookmarkStart w:id="1629" w:name="Tc_H9KnuEVc1EGEw4hUFHZCdA_10_0"/>
      <w:bookmarkStart w:id="1630" w:name="Tc_5cPd7DEf70aS4lnm9ldT0w_9_4"/>
      <w:bookmarkStart w:id="1631" w:name="Tc_famtEWrJ-EqN4CU4M9BDaA_9_0"/>
      <w:bookmarkStart w:id="1632" w:name="Tc_NK24SjYpvUq7ywZRTsZdLw_8_0"/>
      <w:bookmarkStart w:id="1633" w:name="Tc_6LEq4MwljkOzZC37xosFug_7_0"/>
      <w:bookmarkStart w:id="1634" w:name="Tc_wZr2sg4WV0u5Q_qSD7_spA_6_0"/>
      <w:bookmarkStart w:id="1635" w:name="Tc_u7serowTNEiLk_I6wmAXuw_5_4"/>
      <w:bookmarkStart w:id="1636" w:name="Tc_myE1r7Q_OEaU8YPeMkfu-g_5_0"/>
      <w:bookmarkStart w:id="1637" w:name="Tc_oA44jDW4REC_PoLqRqllmQ_4_4"/>
      <w:bookmarkStart w:id="1638" w:name="Tc_5Cr_7Gb14U-QDc0mjkBkyg_4_2"/>
      <w:bookmarkStart w:id="1639" w:name="Tc_HkpQc_34XU2R20GWq4MNbQ_3_4"/>
      <w:bookmarkStart w:id="1640" w:name="Tc_uMovAwnUgkahU_xfgiixCw_3_2"/>
      <w:bookmarkStart w:id="1641" w:name="Tc_1deym1aci02SixT7b-bmAA_2_4"/>
      <w:bookmarkStart w:id="1642" w:name="Tc_pEiE1hEmxEe_aIIzLblY4w_2_2"/>
      <w:bookmarkStart w:id="1643" w:name="Tc_MApjGRZ2VUiJ-jQNrVyBqQ_1_4"/>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r>
        <w:rPr>
          <w:rFonts w:ascii="Times New Roman;Times;serif" w:hAnsi="Times New Roman;Times;serif"/>
          <w:b/>
          <w:i/>
          <w:sz w:val="20"/>
        </w:rPr>
        <w:t>Restricted Stock Units and Performance Restricted Stock Units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 Upon vesting of the RSUs, the Company withholds shares to cover the withholding taxes due upon vesting. Such withheld shares are considered retired and no longer available under the Company’s 2018 Plan, but such shares are not canceled and remain available to be issued for other purposes. </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Activity for RSUs as of June 30, 2026 and the changes during the six months ended June 30, 2026 are presented in the following table:</w:t>
      </w:r>
    </w:p>
    <w:p>
      <w:pPr>
        <w:pStyle w:val="TextBody"/>
        <w:bidi w:val="0"/>
        <w:spacing w:before="0" w:after="0"/>
        <w:ind w:left="0" w:right="0" w:hanging="0"/>
        <w:jc w:val="left"/>
        <w:rPr/>
      </w:pPr>
      <w:r>
        <w:rPr/>
        <w:t>​</w:t>
      </w:r>
    </w:p>
    <w:tbl>
      <w:tblPr>
        <w:tblW w:w="7414" w:type="dxa"/>
        <w:jc w:val="left"/>
        <w:tblInd w:w="0" w:type="dxa"/>
        <w:tblLayout w:type="fixed"/>
        <w:tblCellMar>
          <w:top w:w="0" w:type="dxa"/>
          <w:left w:w="0" w:type="dxa"/>
          <w:bottom w:w="0" w:type="dxa"/>
          <w:right w:w="0" w:type="dxa"/>
        </w:tblCellMar>
      </w:tblPr>
      <w:tblGrid>
        <w:gridCol w:w="4381"/>
        <w:gridCol w:w="346"/>
        <w:gridCol w:w="1351"/>
        <w:gridCol w:w="346"/>
        <w:gridCol w:w="266"/>
        <w:gridCol w:w="724"/>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781935" cy="175260"/>
                      <wp:effectExtent l="0" t="0" r="0" b="0"/>
                      <wp:wrapNone/>
                      <wp:docPr id="251" name="Frame251"/>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857885" cy="175260"/>
                      <wp:effectExtent l="0" t="0" r="0" b="0"/>
                      <wp:wrapNone/>
                      <wp:docPr id="253" name="Frame25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8910" cy="175260"/>
                      <wp:effectExtent l="0" t="0" r="0" b="0"/>
                      <wp:wrapNone/>
                      <wp:docPr id="255" name="Frame25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59740" cy="175260"/>
                      <wp:effectExtent l="0" t="0" r="0" b="0"/>
                      <wp:wrapNone/>
                      <wp:docPr id="256" name="Frame256"/>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43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 and PRSUs</w:t>
            </w:r>
          </w:p>
        </w:tc>
        <w:tc>
          <w:tcPr>
            <w:tcW w:w="346" w:type="dxa"/>
            <w:tcBorders/>
            <w:vAlign w:val="center"/>
          </w:tcPr>
          <w:p>
            <w:pPr>
              <w:pStyle w:val="TableContents"/>
              <w:bidi w:val="0"/>
              <w:spacing w:before="0" w:after="1"/>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9,080,465</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7,899,200</w:t>
            </w:r>
          </w:p>
        </w:tc>
        <w:tc>
          <w:tcPr>
            <w:tcW w:w="34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7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Vested/Released</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(2,904,310)</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7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(1,363,827)</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12,711,528</w:t>
            </w:r>
          </w:p>
        </w:tc>
        <w:tc>
          <w:tcPr>
            <w:tcW w:w="346" w:type="dxa"/>
            <w:tcBorders/>
            <w:shd w:fill="CCEEFF" w:val="clear"/>
            <w:vAlign w:val="center"/>
          </w:tcPr>
          <w:p>
            <w:pPr>
              <w:pStyle w:val="TableContents"/>
              <w:bidi w:val="0"/>
              <w:spacing w:before="0" w:after="1"/>
              <w:ind w:left="0" w:right="0" w:hanging="0"/>
              <w:jc w:val="left"/>
              <w:rPr/>
            </w:pPr>
            <w:r>
              <w:rPr/>
              <w:t>​</w:t>
            </w:r>
          </w:p>
        </w:tc>
        <w:tc>
          <w:tcPr>
            <w:tcW w:w="2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vested and expected to vest at June 30, 2026</w:t>
            </w:r>
          </w:p>
        </w:tc>
        <w:tc>
          <w:tcPr>
            <w:tcW w:w="346" w:type="dxa"/>
            <w:tcBorders/>
            <w:vAlign w:val="center"/>
          </w:tcPr>
          <w:p>
            <w:pPr>
              <w:pStyle w:val="TableContents"/>
              <w:bidi w:val="0"/>
              <w:spacing w:before="0" w:after="1"/>
              <w:ind w:left="0" w:right="0" w:hanging="0"/>
              <w:jc w:val="left"/>
              <w:rPr/>
            </w:pPr>
            <w:r>
              <w:rPr/>
              <w:t>​</w:t>
            </w:r>
          </w:p>
        </w:tc>
        <w:tc>
          <w:tcPr>
            <w:tcW w:w="13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12,010,433</w:t>
            </w:r>
          </w:p>
        </w:tc>
        <w:tc>
          <w:tcPr>
            <w:tcW w:w="346" w:type="dxa"/>
            <w:tcBorders/>
            <w:vAlign w:val="center"/>
          </w:tcPr>
          <w:p>
            <w:pPr>
              <w:pStyle w:val="TableContents"/>
              <w:bidi w:val="0"/>
              <w:spacing w:before="0" w:after="1"/>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6.53</w:t>
            </w:r>
          </w:p>
        </w:tc>
      </w:tr>
    </w:tbl>
    <w:p>
      <w:pPr>
        <w:pStyle w:val="TextBody"/>
        <w:bidi w:val="0"/>
        <w:spacing w:before="0" w:after="0"/>
        <w:ind w:left="0" w:right="0" w:hanging="0"/>
        <w:jc w:val="left"/>
        <w:rPr/>
      </w:pPr>
      <w:r>
        <w:rPr/>
        <w:t>​</w:t>
      </w:r>
    </w:p>
    <w:p>
      <w:pPr>
        <w:pStyle w:val="TextBody"/>
        <w:bidi w:val="0"/>
        <w:spacing w:before="200" w:after="200"/>
        <w:ind w:left="0" w:right="0" w:firstLine="547"/>
        <w:jc w:val="left"/>
        <w:rPr>
          <w:rFonts w:ascii="Times New Roman;Times;serif" w:hAnsi="Times New Roman;Times;serif"/>
          <w:sz w:val="20"/>
        </w:rPr>
      </w:pPr>
      <w:r>
        <w:rPr>
          <w:rFonts w:ascii="Times New Roman;Times;serif" w:hAnsi="Times New Roman;Times;serif"/>
          <w:sz w:val="20"/>
        </w:rPr>
        <w:t>As of June 30, 2026, there was $58.7 million of unrecognized stock-based compensation expense associated with unvested RSUs, which the Company expects to recognize over a remaining weighted-average period of</w:t>
      </w:r>
      <w:r>
        <w:rPr>
          <w:rFonts w:ascii="Times New Roman;Times;serif" w:hAnsi="Times New Roman;Times;serif"/>
          <w:color w:val="EE0000"/>
          <w:sz w:val="20"/>
        </w:rPr>
        <w:t xml:space="preserve"> </w:t>
      </w:r>
      <w:r>
        <w:rPr>
          <w:rFonts w:ascii="Times New Roman;Times;serif" w:hAnsi="Times New Roman;Times;serif"/>
          <w:sz w:val="20"/>
        </w:rPr>
        <w:t xml:space="preserve">2.20 years. The aggregate intrinsic value of the unvested RSUs and PRSUs outstanding as of June 30, 2026 was $52.9 million.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Total stock-based compensation expense by type of award was as follows (in thousands):</w:t>
      </w:r>
    </w:p>
    <w:p>
      <w:pPr>
        <w:pStyle w:val="TextBody"/>
        <w:bidi w:val="0"/>
        <w:spacing w:before="0" w:after="200"/>
        <w:ind w:left="0" w:right="0" w:firstLine="547"/>
        <w:jc w:val="left"/>
        <w:rPr>
          <w:shd w:fill="FFFF00" w:val="clear"/>
        </w:rPr>
      </w:pPr>
      <w:r>
        <w:rPr>
          <w:shd w:fill="FFFF00" w:val="clear"/>
        </w:rPr>
        <w:t>​</w:t>
      </w:r>
    </w:p>
    <w:tbl>
      <w:tblPr>
        <w:tblW w:w="8488" w:type="dxa"/>
        <w:jc w:val="left"/>
        <w:tblInd w:w="0" w:type="dxa"/>
        <w:tblLayout w:type="fixed"/>
        <w:tblCellMar>
          <w:top w:w="0" w:type="dxa"/>
          <w:left w:w="0" w:type="dxa"/>
          <w:bottom w:w="0" w:type="dxa"/>
          <w:right w:w="0" w:type="dxa"/>
        </w:tblCellMar>
      </w:tblPr>
      <w:tblGrid>
        <w:gridCol w:w="3451"/>
        <w:gridCol w:w="346"/>
        <w:gridCol w:w="211"/>
        <w:gridCol w:w="676"/>
        <w:gridCol w:w="346"/>
        <w:gridCol w:w="211"/>
        <w:gridCol w:w="676"/>
        <w:gridCol w:w="346"/>
        <w:gridCol w:w="211"/>
        <w:gridCol w:w="676"/>
        <w:gridCol w:w="346"/>
        <w:gridCol w:w="211"/>
        <w:gridCol w:w="78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1385" cy="175260"/>
                      <wp:effectExtent l="0" t="0" r="0" b="0"/>
                      <wp:wrapNone/>
                      <wp:docPr id="257" name="Frame25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29260" cy="175260"/>
                      <wp:effectExtent l="0" t="0" r="0" b="0"/>
                      <wp:wrapNone/>
                      <wp:docPr id="260" name="Frame2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9260" cy="175260"/>
                      <wp:effectExtent l="0" t="0" r="0" b="0"/>
                      <wp:wrapNone/>
                      <wp:docPr id="263"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5935" cy="175260"/>
                      <wp:effectExtent l="0" t="0" r="0" b="0"/>
                      <wp:wrapNone/>
                      <wp:docPr id="269" name="Frame2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37,858</w:t>
            </w:r>
          </w:p>
        </w:tc>
      </w:tr>
    </w:tbl>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shd w:fill="FFFFFF" w:val="clear"/>
        </w:rPr>
      </w:pPr>
      <w:r>
        <w:rPr>
          <w:rFonts w:ascii="Times New Roman;Times;serif" w:hAnsi="Times New Roman;Times;serif"/>
          <w:sz w:val="20"/>
          <w:shd w:fill="FFFFFF" w:val="clear"/>
        </w:rPr>
        <w:t>The amount included in capitalized inventory for stock-based compensation expense for personnel engaged with manufacturing activities was $1.1 million as of June 30, 2026, and $0.6 million as of December 31,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SEGMENT INFORMATION</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The Company operates in one segment, focusing on innovating, developing, and commercializing therapies using its autologous TIL cell therapies for patients with solid tumor cancers. The Company is executing the U.S. launch of Amtagvi</w:t>
      </w:r>
      <w:r>
        <w:rPr>
          <w:rFonts w:ascii="Times New Roman;Times;serif" w:hAnsi="Times New Roman;Times;serif"/>
          <w:sz w:val="15"/>
        </w:rPr>
        <w:t>®</w:t>
      </w:r>
      <w:r>
        <w:rPr>
          <w:rFonts w:ascii="Times New Roman;Times;serif" w:hAnsi="Times New Roman;Times;serif"/>
          <w:sz w:val="20"/>
        </w:rPr>
        <w:t>, the first product within its autologous TIL cell therapy platform, while also marketing and distributing its Proleukin</w:t>
      </w:r>
      <w:r>
        <w:rPr>
          <w:rFonts w:ascii="Times New Roman;Times;serif" w:hAnsi="Times New Roman;Times;serif"/>
          <w:sz w:val="15"/>
        </w:rPr>
        <w:t>®</w:t>
      </w:r>
      <w:r>
        <w:rPr>
          <w:rFonts w:ascii="Times New Roman;Times;serif" w:hAnsi="Times New Roman;Times;serif"/>
          <w:sz w:val="20"/>
        </w:rPr>
        <w:t xml:space="preserve"> product used in the Amtagvi</w:t>
      </w:r>
      <w:r>
        <w:rPr>
          <w:rFonts w:ascii="Times New Roman;Times;serif" w:hAnsi="Times New Roman;Times;serif"/>
          <w:sz w:val="15"/>
        </w:rPr>
        <w:t>®</w:t>
      </w:r>
      <w:r>
        <w:rPr>
          <w:rFonts w:ascii="Times New Roman;Times;serif" w:hAnsi="Times New Roman;Times;serif"/>
          <w:sz w:val="20"/>
        </w:rPr>
        <w:t xml:space="preserve"> treatment regimen.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Chief Operating Decision Maker (“CODM”) is the Chief Executive Officer, who uses net loss as measurement of segment loss and monitors results against budget to evaluate and assess performance of the Company and resource allocation within the Company. The measure of segment assets is reported on the balance sheet as total consolidated assets.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Beginning in the third quarter of 2025, the Company began separately presenting depreciation and amortization expense on the condensed consolidated statement of operations as well as in its internal reporting to the CODM. As a result, the Company has recast prior period amounts to align with the information that is used by the CODM.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bookmarkStart w:id="1644" w:name="Tc_rhEMy2mWtkyZAtNyiQ_P9A_20_11"/>
      <w:bookmarkStart w:id="1645" w:name="Tc_vwhMYi85Y0aRgLkV7FuHfw_20_8"/>
      <w:bookmarkStart w:id="1646" w:name="Tc_e2MDdDe-RkWFLetu5MWXkA_20_5"/>
      <w:bookmarkStart w:id="1647" w:name="Tc__so5SqP2pUy_TdtMKV09rA_20_2"/>
      <w:bookmarkStart w:id="1648" w:name="Tc_OQ-RqdBIak-46_vAMAOMoA_20_0"/>
      <w:bookmarkStart w:id="1649" w:name="Tc_ndtlG5dnFUCTeIX42BXNPA_18_11"/>
      <w:bookmarkStart w:id="1650" w:name="Tc_vKS4F3Z1z0Gv2ImGlB8OCg_18_8"/>
      <w:bookmarkStart w:id="1651" w:name="Tc_spEER5eHFkCq__C-pUJvSQ_18_5"/>
      <w:bookmarkStart w:id="1652" w:name="Tc_f4S-XHviGUSuhbDd773zWQ_18_2"/>
      <w:bookmarkStart w:id="1653" w:name="Tc_QywLciV8ZkuNXQHrJmz2lA_18_0"/>
      <w:bookmarkStart w:id="1654" w:name="Tc_rqOe2US730aUzf2Kl81IEg_17_0"/>
      <w:bookmarkStart w:id="1655" w:name="Tc_AlWOBVan1kqDhnWqfRfQrg_16_0"/>
      <w:bookmarkStart w:id="1656" w:name="Tc_eL9P535TOEulvsymOk4BTQ_15_0"/>
      <w:bookmarkStart w:id="1657" w:name="Tc_RiIjIiLtyEiAXKdrvr3ahw_14_0"/>
      <w:bookmarkStart w:id="1658" w:name="Tc_UKIVSpEm-UeNDEhm6C8YBw_13_11"/>
      <w:bookmarkStart w:id="1659" w:name="Tc_IanWFfTZ3EeBBUOsWeUk2Q_13_8"/>
      <w:bookmarkStart w:id="1660" w:name="Tc_ZlLNmney6UaCncG5xX_K5Q_13_5"/>
      <w:bookmarkStart w:id="1661" w:name="Tc_92Tzvge-WkqNWfEX7tMVtw_13_2"/>
      <w:bookmarkStart w:id="1662" w:name="Tc_JVmbp0ZAVUKUGSXRZAyQWw_13_0"/>
      <w:bookmarkStart w:id="1663" w:name="Tc_rQNFsGdtsUi1Mq6MCrBXxQ_12_0"/>
      <w:bookmarkStart w:id="1664" w:name="Tc_G2odS8nleEm1adQJN82ZRw_10_11"/>
      <w:bookmarkStart w:id="1665" w:name="Tc_doTzDEqBiU2uMlWFv4rp5Q_10_8"/>
      <w:bookmarkStart w:id="1666" w:name="Tc_Yi8GMa-cn0e2lAE6lQq5Ng_10_5"/>
      <w:bookmarkStart w:id="1667" w:name="Tc_4E-n4PDL9ECJ9IqSW1K_dg_10_2"/>
      <w:bookmarkStart w:id="1668" w:name="Tc_u8-JGRYDukC2dySI_efjqw_10_0"/>
      <w:bookmarkStart w:id="1669" w:name="Tc_ycZrl3NlpEy_gbr_CNj99Q_9_0"/>
      <w:bookmarkStart w:id="1670" w:name="Tc_j1aLfxwkskmkTqXVo_H-kg_8_0"/>
      <w:bookmarkStart w:id="1671" w:name="Tc_xi3zebm0J0KRINKM-AWXNQ_7_11"/>
      <w:bookmarkStart w:id="1672" w:name="Tc_drgN8twdGEu7KW0rpTaZ0w_7_8"/>
      <w:bookmarkStart w:id="1673" w:name="Tc_gHBxf_Kx6ES3q05p761J7A_7_5"/>
      <w:bookmarkStart w:id="1674" w:name="Tc_zFTJWFu060aAsX5biHZQ3w_7_2"/>
      <w:bookmarkStart w:id="1675" w:name="Tc_W_u01hBgC0Crqa3_Dyf2Wg_7_0"/>
      <w:bookmarkStart w:id="1676" w:name="Tc_AKSfYe8IoU-QsBKDIBIBeQ_6_0"/>
      <w:bookmarkStart w:id="1677" w:name="Tc_o3ETVkAEl0Oeo5aEHDIgpQ_4_11"/>
      <w:bookmarkStart w:id="1678" w:name="Tc_YCaPR3D_FUS_j0Abx25hNw_4_8"/>
      <w:bookmarkStart w:id="1679" w:name="Tc_ufhTCpbNe0GO3Lnf5vdtxQ_4_5"/>
      <w:bookmarkStart w:id="1680" w:name="Tc_2w0EhbzDDku1KM4bt4qYqw_4_2"/>
      <w:bookmarkStart w:id="1681" w:name="Tc_MuMvzaZMm0WnAt7xBtWYVQ_4_0"/>
      <w:bookmarkStart w:id="1682" w:name="Tc_jxV-BrYTnkODiOups55RtQ_3_11"/>
      <w:bookmarkStart w:id="1683" w:name="Tc_X8joXBx5IkGwua67Oad2ag_3_8"/>
      <w:bookmarkStart w:id="1684" w:name="Tc_vRDunNjDyUCi25ZR60TzJQ_3_5"/>
      <w:bookmarkStart w:id="1685" w:name="Tc_rHnHc27erkSxKoW1dsY8VA_3_2"/>
      <w:bookmarkStart w:id="1686" w:name="Tc_GcdrAWJ9rUu4RB0uOIo59A_3_0"/>
      <w:bookmarkStart w:id="1687" w:name="Tc_5LdMpz5iV0uAKN-H9PTt-w_2_8"/>
      <w:bookmarkStart w:id="1688" w:name="Tc_OfyEj09R7EynQaqn0wgK1A_2_2"/>
      <w:bookmarkStart w:id="1689" w:name="Tc_MQRckep8z0SMKQxl10LRMg_1_8"/>
      <w:bookmarkStart w:id="1690" w:name="Tc_bpyVXuc5nkG-SvxbdnyQKg_1_2"/>
      <w:bookmarkStart w:id="1691" w:name="_aba9ebea_822a_4878_bd7f_b3fbe0f7801b"/>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r>
        <w:rPr>
          <w:rFonts w:ascii="Times New Roman;Times;serif" w:hAnsi="Times New Roman;Times;serif"/>
          <w:sz w:val="20"/>
        </w:rPr>
        <w:t xml:space="preserve">The table below highlights the Company’s revenue, expenses and net loss for the segment and is reconciled to net loss on a consolidated basis for the three and six months ended June 30, 2026 and 2025.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29"/>
        <w:gridCol w:w="109"/>
        <w:gridCol w:w="211"/>
        <w:gridCol w:w="794"/>
        <w:gridCol w:w="346"/>
        <w:gridCol w:w="211"/>
        <w:gridCol w:w="893"/>
        <w:gridCol w:w="109"/>
        <w:gridCol w:w="211"/>
        <w:gridCol w:w="893"/>
        <w:gridCol w:w="346"/>
        <w:gridCol w:w="211"/>
        <w:gridCol w:w="942"/>
      </w:tblGrid>
      <w:tr>
        <w:trPr/>
        <w:tc>
          <w:tcPr>
            <w:tcW w:w="4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129915" cy="175260"/>
                      <wp:effectExtent l="0" t="0" r="0" b="0"/>
                      <wp:wrapNone/>
                      <wp:docPr id="270" name="Frame270"/>
                      <a:graphic xmlns:a="http://schemas.openxmlformats.org/drawingml/2006/main">
                        <a:graphicData uri="http://schemas.microsoft.com/office/word/2010/wordprocessingShape">
                          <wps:wsp>
                            <wps:cNvSpPr txBox="1"/>
                            <wps:spPr>
                              <a:xfrm>
                                <a:off x="0" y="0"/>
                                <a:ext cx="3129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04190" cy="175260"/>
                      <wp:effectExtent l="0" t="0" r="0" b="0"/>
                      <wp:wrapNone/>
                      <wp:docPr id="273" name="Frame27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67055" cy="175260"/>
                      <wp:effectExtent l="0" t="0" r="0" b="0"/>
                      <wp:wrapNone/>
                      <wp:docPr id="276" name="Frame276"/>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67055" cy="175260"/>
                      <wp:effectExtent l="0" t="0" r="0" b="0"/>
                      <wp:wrapNone/>
                      <wp:docPr id="279" name="Frame279"/>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98170" cy="175260"/>
                      <wp:effectExtent l="0" t="0" r="0" b="0"/>
                      <wp:wrapNone/>
                      <wp:docPr id="282" name="Frame282"/>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6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6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2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left"/>
              <w:rPr/>
            </w:pPr>
            <w:r>
              <w:rPr/>
              <w:t>​</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109,276</w: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w:t>
            </w:r>
            <w:r>
              <w:rPr>
                <w:rFonts w:ascii="Times New Roman;Times;serif" w:hAnsi="Times New Roman;Times;serif"/>
                <w:i/>
                <w:sz w:val="20"/>
              </w:rPr>
              <w:t>excluding depreciation and amortization</w:t>
            </w:r>
            <w:r>
              <w:rPr>
                <w:rFonts w:ascii="Times New Roman;Times;serif" w:hAnsi="Times New Roman;Times;serif"/>
                <w:sz w:val="20"/>
              </w:rPr>
              <w:t>) (a)</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45,503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84,471</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4,569</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Royalties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2,555</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48,881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91,595</w: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pPr>
            <w:r>
              <w:rPr/>
              <w:t>​</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137,619</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39,524</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Sales and marketing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11,472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30,652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24,830</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17,415</w:t>
            </w:r>
          </w:p>
        </w:tc>
      </w:tr>
      <w:tr>
        <w:trPr/>
        <w:tc>
          <w:tcPr>
            <w:tcW w:w="49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segment items (b)</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26,114</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122,729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245,502</w:t>
            </w:r>
          </w:p>
        </w:tc>
      </w:tr>
      <w:tr>
        <w:trPr/>
        <w:tc>
          <w:tcPr>
            <w:tcW w:w="49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929"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loss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(227,821)</w:t>
            </w:r>
          </w:p>
        </w:tc>
      </w:tr>
    </w:tbl>
    <w:p>
      <w:pPr>
        <w:pStyle w:val="TextBody"/>
        <w:bidi w:val="0"/>
        <w:spacing w:before="0" w:after="200"/>
        <w:ind w:left="0" w:right="0" w:firstLine="547"/>
        <w:jc w:val="both"/>
        <w:rPr/>
      </w:pPr>
      <w:r>
        <w:rPr/>
        <w:t>​</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ind w:left="0" w:right="0" w:hanging="0"/>
              <w:jc w:val="left"/>
              <w:rPr>
                <w:sz w:val="4"/>
                <w:szCs w:val="4"/>
              </w:rPr>
            </w:pPr>
            <w:r>
              <w:rPr>
                <w:sz w:val="4"/>
                <w:szCs w:val="4"/>
              </w:rPr>
            </w:r>
          </w:p>
        </w:tc>
        <w:tc>
          <w:tcPr>
            <w:tcW w:w="9972" w:type="dxa"/>
            <w:tcBorders/>
            <w:vAlign w:val="center"/>
          </w:tcPr>
          <w:p>
            <w:pPr>
              <w:pStyle w:val="TableContents"/>
              <w:bidi w:val="0"/>
              <w:spacing w:before="0" w:after="283"/>
              <w:ind w:left="0" w:right="0" w:hanging="0"/>
              <w:jc w:val="left"/>
              <w:rPr>
                <w:sz w:val="4"/>
                <w:szCs w:val="4"/>
              </w:rPr>
            </w:pPr>
            <w:r>
              <w:rPr>
                <w:sz w:val="4"/>
                <w:szCs w:val="4"/>
              </w:rPr>
            </w:r>
          </w:p>
        </w:tc>
      </w:tr>
      <w:tr>
        <w:trPr/>
        <w:tc>
          <w:tcPr>
            <w:tcW w:w="2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Cost of goods sold represents inventory and period costs related to overhead, manufacturing costs of Amtagvi</w:t>
            </w:r>
            <w:r>
              <w:rPr>
                <w:rFonts w:ascii="Times New Roman;Times;serif" w:hAnsi="Times New Roman;Times;serif"/>
                <w:sz w:val="15"/>
              </w:rPr>
              <w:t>®</w:t>
            </w:r>
            <w:r>
              <w:rPr>
                <w:rFonts w:ascii="Times New Roman;Times;serif" w:hAnsi="Times New Roman;Times;serif"/>
                <w:sz w:val="20"/>
              </w:rPr>
              <w:t>, and reserves associated with excess and obsolete inventory, as well as costs associated with the purchases and sales of Proleukin</w:t>
            </w:r>
            <w:r>
              <w:rPr>
                <w:rFonts w:ascii="Times New Roman;Times;serif" w:hAnsi="Times New Roman;Times;serif"/>
                <w:sz w:val="15"/>
              </w:rPr>
              <w:t>®</w:t>
            </w:r>
            <w:r>
              <w:rPr>
                <w:rFonts w:ascii="Times New Roman;Times;serif" w:hAnsi="Times New Roman;Times;serif"/>
                <w:sz w:val="20"/>
              </w:rPr>
              <w:t>. Also included are manufacturing and period costs incurred for Amtagvi</w:t>
            </w:r>
            <w:r>
              <w:rPr>
                <w:rFonts w:ascii="Times New Roman;Times;serif" w:hAnsi="Times New Roman;Times;serif"/>
                <w:sz w:val="15"/>
              </w:rPr>
              <w:t>®</w:t>
            </w:r>
            <w:r>
              <w:rPr>
                <w:rFonts w:ascii="Times New Roman;Times;serif" w:hAnsi="Times New Roman;Times;serif"/>
                <w:sz w:val="20"/>
              </w:rPr>
              <w:t xml:space="preserve"> that do not meet specifications or a patient is unable to receive the infusion. For patients that can be administered Amtagvi</w:t>
            </w:r>
            <w:r>
              <w:rPr>
                <w:rFonts w:ascii="Times New Roman;Times;serif" w:hAnsi="Times New Roman;Times;serif"/>
                <w:sz w:val="15"/>
              </w:rPr>
              <w:t xml:space="preserve">® </w:t>
            </w:r>
            <w:r>
              <w:rPr>
                <w:rFonts w:ascii="Times New Roman;Times;serif" w:hAnsi="Times New Roman;Times;serif"/>
                <w:sz w:val="20"/>
              </w:rPr>
              <w:t xml:space="preserve">as part of a clinical trial in an expanded or early access program, or single-patient investigational new drug submission, costs are recorded as research and development expenses based on the fact the Company receives clinical data related to these infusions. This category is provided to the CODM on a quarterly basis in comparison to that of previous quarters for review as these costs are controllable costs that indicate operating performance of the Company. </w:t>
            </w:r>
          </w:p>
        </w:tc>
      </w:tr>
      <w:tr>
        <w:trPr/>
        <w:tc>
          <w:tcPr>
            <w:tcW w:w="23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segment items include costs that are not considered significant expense segments nor reviewed by the CODM on a regular basis. Such amount includes stock-based compensation expenses (excluding stock-based compensation included in cost of sales), interest income, other income and expenses, and income tax benefits.</w:t>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hanging="0"/>
        <w:jc w:val="left"/>
        <w:rPr/>
      </w:pPr>
      <w:r>
        <w:rPr/>
        <w:t>​</w:t>
      </w:r>
      <w:r>
        <w:rPr>
          <w:rFonts w:ascii="Times New Roman;Times;serif" w:hAnsi="Times New Roman;Times;serif"/>
          <w:b w:val="false"/>
          <w:sz w:val="20"/>
        </w:rPr>
        <w:br/>
      </w:r>
      <w:r>
        <w:rPr>
          <w:rFonts w:ascii="Times New Roman;Times;serif" w:hAnsi="Times New Roman;Times;serif"/>
          <w:b/>
          <w:sz w:val="20"/>
        </w:rPr>
        <w:t>NOTE 11. LICENSES AND AGREEMENTS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National Institutes of Health (the “NIH”) and the National Cancer Institute (the “NCI”)</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Cooperative Research and Development Agreement (the “CRADA”)</w:t>
      </w:r>
    </w:p>
    <w:p>
      <w:pPr>
        <w:pStyle w:val="TextBody"/>
        <w:bidi w:val="0"/>
        <w:spacing w:before="0" w:after="200"/>
        <w:ind w:left="0" w:right="0" w:firstLine="630"/>
        <w:jc w:val="left"/>
        <w:rPr>
          <w:rFonts w:ascii="Times New Roman;Times;serif" w:hAnsi="Times New Roman;Times;serif"/>
          <w:sz w:val="20"/>
        </w:rPr>
      </w:pPr>
      <w:r>
        <w:rPr>
          <w:rFonts w:ascii="Times New Roman;Times;serif" w:hAnsi="Times New Roman;Times;serif"/>
          <w:sz w:val="20"/>
        </w:rPr>
        <w:t xml:space="preserve">In August 2011, the Company signed a five-year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The CRADA has been amended since then to, among other things, extend the term of the CRADA, include new indications such as bladder, lung, triple-negative breast, and Human Papilloma Virus (“HPV”)-associated cancers, and modify the focus on the development of unmodified TIL as a stand-alone therapy or in combination, the evaluation in clinical trials of strategies for development of more potent TILs, such as selection of CD39/69 double negative cells and the use of certain inhibitors or other reagents in TIL expansion cultures.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July 2024, the NCI and the Company entered into a fourth amendment to the CRADA to extend its term by an additional five years to August 2029. The fourth amendment also includes collaboration on preclinical and clinical development of enhanced tumor reactive TIL products for the treatment of a broad range of common epithelial cancers.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Pursuant to the terms of the CRADA, as amended, the Company is required to make quarterly payments to the NCI for support of research activities through the end of the CRADA’s term.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Company or the NCI may unilaterally terminate the CRADA for any reason or for no reason at any time by providing written notice at least 60 days before the desired termination date. The Company recorded costs associated with the CRADA of $0.8 million and $1.7 million for the three and six months ended June 30, 2026, and $0.8 million and $1.7 million for the three and six months ended June 30, 2025, respectively, as research and development expenses.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Patent License Agreements Related to TIL Cell Therapies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entered into a patent license agreement (the “Patent License Agreement”) with the NIH, an agency of the U.S. Public Health Service within the Department of Health and Human Services, in 2011. The Patent License Agreement was amended multiple times to include exclusive, co-exclusive, and non-exclusive licenses to certain NIH technologies relating to autologous tumor infiltrating lymphocyte adoptive cell therapy.</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The Patent License Agreement, as amended, requires the Company to pay royalties based on a percentage of net sales in jurisdictions where patent rights exist, which percentage can fall into a tier that may be less than one percent to mid-single digits depending upon certain events, including the exclusivity of the rights. The Company is also required to pay potential milestone payments on the achievement of certain clinical, regulatory, and commercial sales milestones for each of the indications and other direct costs incurred by the NIH pursuant to the Patent License Agreement, as amended. The Company has made and anticipates making additional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Patent License Agreement, as amended. The term of the Patent License Agreement, as amended, continues until the expiry of the last-to-expire patent rights licensed thereunder, and the agreement contains standard termination provisions. The Company paid and recorded a $0.6 million milestone payment for an intellectual property license that was payable within 60 days of successful completion of the first Company-sponsored Phase 2 clinical study in melanoma, as research and development expenses, for the year ended December 31, 2023. The Company also paid a $1.5 million milestone payment for an intellectual property license that was payable within 60 days of the approval of Amtagvi</w:t>
      </w:r>
      <w:r>
        <w:rPr>
          <w:rFonts w:ascii="Times New Roman;Times;serif" w:hAnsi="Times New Roman;Times;serif"/>
          <w:sz w:val="15"/>
        </w:rPr>
        <w:t>®</w:t>
      </w:r>
      <w:r>
        <w:rPr>
          <w:rFonts w:ascii="Times New Roman;Times;serif" w:hAnsi="Times New Roman;Times;serif"/>
          <w:sz w:val="20"/>
        </w:rPr>
        <w:t xml:space="preserve"> for use in the treatment of melanoma, and a $6.0 million milestone payment for an intellectual property license that was payable within 60 days of the approval of the first commercial sale of Amtagvi</w:t>
      </w:r>
      <w:r>
        <w:rPr>
          <w:rFonts w:ascii="Times New Roman;Times;serif" w:hAnsi="Times New Roman;Times;serif"/>
          <w:sz w:val="15"/>
        </w:rPr>
        <w:t>®</w:t>
      </w:r>
      <w:r>
        <w:rPr>
          <w:rFonts w:ascii="Times New Roman;Times;serif" w:hAnsi="Times New Roman;Times;serif"/>
          <w:sz w:val="20"/>
        </w:rPr>
        <w:t xml:space="preserve"> for use in the treatment of melanoma in the U.S. in accordance with the requirements of the Patent License Agreement, as amended. Both aforementioned milestone payments have been capitalized and recorded as intangible assets on the consolidated balance sheet. The Company recorded $0.2 million and $0.4 million, for each of the three and six months ended June 30, 2026, and 2025, respectively, as a component of cost of sales related to amortization of the milestone payments.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Minaris Advanced Therapies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The Company had a certain manufacturing services agreement (the “MSA”) with Minaris Advanced Therapies, or “Minaris” for two cGMP manufacturing suites to be operated by Minaris for Iovance Manufacturing LLC to support clinical and commercial manufacturing and related testing services. Minaris concluded production of Amtagvi</w:t>
      </w:r>
      <w:r>
        <w:rPr>
          <w:rFonts w:ascii="Times New Roman;Times;serif" w:hAnsi="Times New Roman;Times;serif"/>
          <w:sz w:val="15"/>
        </w:rPr>
        <w:t>®</w:t>
      </w:r>
      <w:r>
        <w:rPr>
          <w:rFonts w:ascii="Times New Roman;Times;serif" w:hAnsi="Times New Roman;Times;serif"/>
          <w:sz w:val="20"/>
        </w:rPr>
        <w:t xml:space="preserve"> and clinical supply of lifileucel in the first quarter of 2026, and Minaris will conclude certain closeout work for the Company in the third quarter of 2026. For the three and six months ended June 30, 2026, the Company recorded de minimis costs and $6.2 million, respectively, and for the three and six months ended June 30, 2025, the Company recorded $6.1 million and $14.5 million, respectively, as costs and expenses included in the condensed consolidated statement of operations or as inventory in the condensed consolidated balance sheets.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Cellectis S.A.</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In December 2019, the Company entered into a research collaboration and exclusive worldwide license agreement whereby the Company will license gene-editing technology from Cellectis S.A. (“Cellectis”), a clinical-stage biopharmaceutical company, to develop TIL cell therapies that have been genetically edited, including a PD-1 inactivated product that the Company refers to as IOV-4001. Financial terms of the license include annual license payments and development, regulatory and sales milestone payments from the Company to Cellectis, as well as royalty payments based on net sales of TALEN</w:t>
      </w:r>
      <w:r>
        <w:rPr>
          <w:rFonts w:ascii="Times New Roman;Times;serif" w:hAnsi="Times New Roman;Times;serif"/>
          <w:sz w:val="15"/>
        </w:rPr>
        <w:t>®</w:t>
      </w:r>
      <w:r>
        <w:rPr>
          <w:rFonts w:ascii="Times New Roman;Times;serif" w:hAnsi="Times New Roman;Times;serif"/>
          <w:sz w:val="20"/>
        </w:rPr>
        <w:t xml:space="preserve">-modified TIL products. The Company recorded costs associated with the license agreement with Cellectis of de minimis, and $0.1 million for the three and six months ended June 30,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692" w:name="_db9b5e47_8c84_434c_accc_fda2cc4ad7a9"/>
      <w:bookmarkEnd w:id="1692"/>
      <w:r>
        <w:rPr>
          <w:rFonts w:ascii="Times New Roman;Times;serif" w:hAnsi="Times New Roman;Times;serif"/>
          <w:sz w:val="20"/>
        </w:rPr>
        <w:t>2026, and $0.1 million and $0.2 million for the three and six months ended June 30, 2025, respectively, as research and development expense.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Novartis Pharma AG and Related Entities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January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 No expenses were recorded for the three and six months ended June 30, 2026, and for the three and six months ended June 30, 2025, the Company recorded $2.5 million related to the initiation of patient dosing.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U.S. and the rest of world, which includes any and all sales outside of the U.S. The maximum amount of these milestone payments payable under these agreements is $30.0 million upon reaching several certain net sales amounts in the U.S.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the three and six months ended June 30, 2026 and 2025.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Boehringer Ingelheim Biopharmaceuticals GmbH</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w:t>
      </w:r>
      <w:r>
        <w:rPr>
          <w:rFonts w:ascii="Times New Roman;Times;serif" w:hAnsi="Times New Roman;Times;serif"/>
          <w:sz w:val="15"/>
        </w:rPr>
        <w:t>®</w:t>
      </w:r>
      <w:r>
        <w:rPr>
          <w:rFonts w:ascii="Times New Roman;Times;serif" w:hAnsi="Times New Roman;Times;serif"/>
          <w:sz w:val="20"/>
        </w:rPr>
        <w:t xml:space="preserve"> in unlabeled vials. The original term of this agreement was through October 2025, with automatic renewals for a period of two years unless terminated as permitted by the contract. In September 2025, the agreement was amended and extended through December 31, 2028. Under this amended agreement, the Company must purchase a minimum number of vials, or drug substance, each year at fixed prices. The total estimated purchase obligations under this agreement for the remainder of the year ending December 31, 2026, and the years ending December 31, 2027, and 2028 are $15.1 million, $16.4 million, and $16.9 million,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LEASES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leases corporate office space in San Carlos, California, manufacturing, research and development lab facilities and office space in Philadelphia, Pennsylvania, including 136,000 square feet of commercial manufacturing and lab space at the </w:t>
      </w:r>
      <w:r>
        <w:rPr>
          <w:rFonts w:ascii="Times New Roman;Times;serif" w:hAnsi="Times New Roman;Times;serif"/>
          <w:i/>
          <w:sz w:val="20"/>
        </w:rPr>
        <w:t>i</w:t>
      </w:r>
      <w:r>
        <w:rPr>
          <w:rFonts w:ascii="Times New Roman;Times;serif" w:hAnsi="Times New Roman;Times;serif"/>
          <w:sz w:val="20"/>
        </w:rPr>
        <w:t xml:space="preserve">CTC, and research and development lab facilities in Tampa, Florida. The determination whether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Company’s leases have remaining lease terms that range from less than one year to approximately 16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Variable lease cost is determined based on performance or usage in accordance with the contractual agreements, and not based on an index or rate. Such costs that are not fixed in nature are recognized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also leases certain furniture and equipment that has a lease term of 12 months or less. Since the lease agreements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Headquarters Office Lease</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On November 15, 2024, the Company entered into a sublease agreement (the “Headquarters Lease”) to relocate its office within the same building of its former San Carlos headquarters to lease approximately 16,731 square feet office space with the lease term of 24 months. The Headquarters Lease commenced on December 15, 2024 and includes two options to extend the terms of the lease for 12 months each, exercisable under certain conditions and at a rate increase by 3% from the applicable monthly base rent of approximately $0.1 million. Upon the commencement date, the Company recognized operating lease liabilities and right-of-use assets of $2.3 million.</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Simultaneously, the Company entered into an Agreement for Termination of Lease and Voluntary Surrender of Premises with its landlord related to its lease for its then existing and now former headquarters location to surrender 49,918 square feet office and laboratory space and paid an early lease termination payment to its landlord of $0.6 million and $2.5 million of related brokerage fees. In accordance with ASC 842, the termination of this lease resulted in derecognition of right-of-use assets and corresponding lease liabilities of $13.7 million and $22.3 million, respectively, which resulted in a $8.6 million gain, partially offset by the aforementioned lease termination related fees, recorded as interest and other income, net in the consolidated statement of operations for the year ended December 31, 2024.</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 addition, as a result of the early termination of the former headquarters lease, the Company impaired approximately $7.4 million of long-lived assets, which included leasehold improvements, and furniture and fixtures, previously funded by the landlord through a tenant improvement allowance for the former corporate headquarters office lease (as discussed further below), and is included in the research and development expenses and selling, general, and administrative expenses in the consolidated statement of operations for the year ended December 31, 2024.</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Manufacturing Contracts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Further, the Company controls the use of the facilities by obtaining all of the economic benefits from the use of the facilities and directs the use of the facilities throughout the period of use. The terms of the CMO contracts include options to terminate the lease with advance notice of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six months. The termination clauses and extension clauses are included in the calculation of the lease term for each of the CMOs when it is reasonably certain that it will not exercise such options.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sz w:val="20"/>
        </w:rPr>
      </w:pPr>
      <w:bookmarkStart w:id="1693" w:name="Tc_T6Up7NN-9kuBaS0uDbvwPA_12_5"/>
      <w:bookmarkStart w:id="1694" w:name="Tc_Hoy_aV1pF0yrllK4WMYviQ_12_2"/>
      <w:bookmarkStart w:id="1695" w:name="Tc_FkLBIQObA0eyRaWNbFIq9w_12_0"/>
      <w:bookmarkStart w:id="1696" w:name="Tc_GvkZr41gD0OxwcTvK7kB3Q_11_0"/>
      <w:bookmarkStart w:id="1697" w:name="Tc_c2LiJ8mELk2WK68pV7nsYA_10_5"/>
      <w:bookmarkStart w:id="1698" w:name="Tc_OH1eFF-cok6QUBMVo2bzqA_10_2"/>
      <w:bookmarkStart w:id="1699" w:name="Tc_pc2_yPF6pUGBMvJ4q5vi8Q_10_0"/>
      <w:bookmarkStart w:id="1700" w:name="Tc_ydmeDt-TyUOmek3i1ioLeA_9_0"/>
      <w:bookmarkStart w:id="1701" w:name="Tc_PkCdT9CE_UmYdeDdMjyu7w_8_0"/>
      <w:bookmarkStart w:id="1702" w:name="Tc_xdwRnpE2HEWcv466dI97zw_7_0"/>
      <w:bookmarkStart w:id="1703" w:name="Tc_b0hnQWBNAkKaS-DGtEA_CA_6_0"/>
      <w:bookmarkStart w:id="1704" w:name="Tc_U8tQeOi770GDSxBitpF-jg_5_0"/>
      <w:bookmarkStart w:id="1705" w:name="Tc_YYwwODIYekyTvXY9RE0vTQ_4_5"/>
      <w:bookmarkStart w:id="1706" w:name="Tc_6PcidURFHUyqq1dB7_10Fw_4_2"/>
      <w:bookmarkStart w:id="1707" w:name="Tc_hCm6rSiWDE2BVOp8lK_ahg_4_0"/>
      <w:bookmarkStart w:id="1708" w:name="Tc_MVlzWa7G5EKUvW6ZXFPzqg_3_5"/>
      <w:bookmarkStart w:id="1709" w:name="Tc_FwaZPW2xAUapV8CfqT_J7g_3_2"/>
      <w:bookmarkStart w:id="1710" w:name="Tc_HqXwLfRlKkqYcDyt3UUdwg_3_0"/>
      <w:bookmarkStart w:id="1711" w:name="Tc_0O3D070Wu0-ybuLYwdFQ7Q_2_2"/>
      <w:bookmarkStart w:id="1712" w:name="_b2e36c3b_b90b_4ef5_97f6_12c4c3481769"/>
      <w:bookmarkStart w:id="1713" w:name="Tc_2fMRYICujE6yZSppOcP6mA_13_13"/>
      <w:bookmarkStart w:id="1714" w:name="Tc__QsegrrmeUyQ9syrrkPTjQ_13_10"/>
      <w:bookmarkStart w:id="1715" w:name="Tc_gQRYDbB3E0iSX91en8QRBw_13_0"/>
      <w:bookmarkStart w:id="1716" w:name="Tc_DY4iXQ-zgkW6z795WPPE7A_12_0"/>
      <w:bookmarkStart w:id="1717" w:name="Tc_nSJC8fIUWk6i3u4sDM3xhw_11_11"/>
      <w:bookmarkStart w:id="1718" w:name="Tc_xoH_IdaHQEeL9r5lnvPM-w_11_8"/>
      <w:bookmarkStart w:id="1719" w:name="Tc_CoU7Rih9rECG_WIx-P38nw_11_5"/>
      <w:bookmarkStart w:id="1720" w:name="Tc_TJLbnbOrVECIcpeSmWOfkA_11_3"/>
      <w:bookmarkStart w:id="1721" w:name="Tc_WafSqO6iGUu8OJfkgXdTFA_11_2"/>
      <w:bookmarkStart w:id="1722" w:name="Tc_zFvpg1Jur06Pe9agJG6vvg_11_0"/>
      <w:bookmarkStart w:id="1723" w:name="Tc_-dMIs0XHe0-dbAaRl6IK1A_10_11"/>
      <w:bookmarkStart w:id="1724" w:name="Tc_2eeWCbTaf0C63oxYpZ-4EQ_10_8"/>
      <w:bookmarkStart w:id="1725" w:name="Tc_pkdyG2_biEqMdW1zpkN2jw_10_5"/>
      <w:bookmarkStart w:id="1726" w:name="Tc_7v2TQq43sk2fBcP8e0qauQ_10_2"/>
      <w:bookmarkStart w:id="1727" w:name="Tc_hTu-uvDXw0-iSyyecJ_bNg_10_0"/>
      <w:bookmarkStart w:id="1728" w:name="Tc_hiyyruwXU0m3lls17_hrTA_9_0"/>
      <w:bookmarkStart w:id="1729" w:name="Tc_QhfbSkhtVk-t7743aIWkNA_7_11"/>
      <w:bookmarkStart w:id="1730" w:name="Tc_PPtOONdcrUqe3S3enlI5Lw_7_8"/>
      <w:bookmarkStart w:id="1731" w:name="Tc_BXbR-JNZ1EWRBKZ3WCi6UQ_7_5"/>
      <w:bookmarkStart w:id="1732" w:name="Tc_PHj6mPFJbUaZqi_shc9xwA_7_2"/>
      <w:bookmarkStart w:id="1733" w:name="Tc_riGZS2Y9HEyPrKfeBNFdPw_7_0"/>
      <w:bookmarkStart w:id="1734" w:name="Tc_UUzKEprT3U6oR7ADF3s8cA_6_0"/>
      <w:bookmarkStart w:id="1735" w:name="Tc_N9Jg9IfifkG3u_qEdpRZIA_5_0"/>
      <w:bookmarkStart w:id="1736" w:name="Tc_plucyfNx906Llr7Gbm-g8w_4_11"/>
      <w:bookmarkStart w:id="1737" w:name="Tc_xMWkJVrJzUK_xDUfHuDNZg_4_8"/>
      <w:bookmarkStart w:id="1738" w:name="Tc_ubQ9eVFOq067elTmwhSuWg_4_5"/>
      <w:bookmarkStart w:id="1739" w:name="Tc_KBvK86EwH0-hFBdOYEF1Jw_4_2"/>
      <w:bookmarkStart w:id="1740" w:name="Tc_hMv4ebsx9EqmxsV7kxOcEg_4_0"/>
      <w:bookmarkStart w:id="1741" w:name="Tc_pOURkNMfK0-vP466AZk8uA_3_11"/>
      <w:bookmarkStart w:id="1742" w:name="Tc_NMCQwU7aC0uHpn26cDdOag_3_8"/>
      <w:bookmarkStart w:id="1743" w:name="Tc_FdtL7GDHEEqpE2BVe2g0NQ_3_5"/>
      <w:bookmarkStart w:id="1744" w:name="Tc_9bvqZNisHk28bUmcxtbiMg_3_2"/>
      <w:bookmarkStart w:id="1745" w:name="Tc_v-McmaOCZ0iI30hsMZjbNg_2_8"/>
      <w:bookmarkStart w:id="1746" w:name="Tc_tT-s55dzxUG_hm46xr7X7A_2_2"/>
      <w:bookmarkStart w:id="1747" w:name="Tc_qYcHUfo_80GnJaGph4WvfQ_1_8"/>
      <w:bookmarkStart w:id="1748" w:name="Tc_260IACVJJkWXsn3L5zhQVA_1_2"/>
      <w:bookmarkStart w:id="1749" w:name="_384ba491_0d3b_4244_b16c_e2ccba79c77e"/>
      <w:bookmarkStart w:id="1750" w:name="Tc_rScopG7UoEGcr7bfLz8i2g_7_5"/>
      <w:bookmarkStart w:id="1751" w:name="Tc_ou1mveHauUWDNt3gL8VGFg_7_2"/>
      <w:bookmarkStart w:id="1752" w:name="Tc_B44tfEBY4UONnxih7c55HQ_7_0"/>
      <w:bookmarkStart w:id="1753" w:name="Tc_9grqQqK9QkiiUkxYHM8ZTQ_6_0"/>
      <w:bookmarkStart w:id="1754" w:name="Tc_GalrYxdDAEGu3gYznI0JYA_5_5"/>
      <w:bookmarkStart w:id="1755" w:name="Tc_DYU-csQFfUKvO-IBqssI_w_5_2"/>
      <w:bookmarkStart w:id="1756" w:name="Tc_botdB-aP3Ey7EzwMFHZaaw_5_0"/>
      <w:bookmarkStart w:id="1757" w:name="Tc_d7IYpLf8pEustMQ_IKwTXw_4_0"/>
      <w:bookmarkStart w:id="1758" w:name="Tc_BoBLKf_vOEyq9Kd5h6kpCw_3_5"/>
      <w:bookmarkStart w:id="1759" w:name="Tc_58AGpSKsHUepC7RF0k26cQ_3_2"/>
      <w:bookmarkStart w:id="1760" w:name="Tc_MW7d2fSVMEOOwm96qvNhKQ_3_0"/>
      <w:bookmarkStart w:id="1761" w:name="Tc_WG_YS4qKN0-bOF6n3aNoLg_2_5"/>
      <w:bookmarkStart w:id="1762" w:name="Tc_6tjx0rYviE-DB9fNvE7JZA_2_2"/>
      <w:bookmarkStart w:id="1763" w:name="Tc_ILFXBLXtE0WyNCYFiDQ-FQ_1_5"/>
      <w:bookmarkStart w:id="1764" w:name="Tc_uZKFxggiXUm5OyVSf_3CKQ_1_2"/>
      <w:bookmarkStart w:id="1765" w:name="_a08c5c8b_bf12_44c7_b0a1_82b2ab5415a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r>
        <w:rPr>
          <w:rFonts w:ascii="Times New Roman;Times;serif" w:hAnsi="Times New Roman;Times;serif"/>
          <w:sz w:val="20"/>
        </w:rPr>
        <w:t>The balance sheet classification of the Company’s right-of-use asset and lease liabilities was as follows (in thousands):</w:t>
      </w:r>
    </w:p>
    <w:p>
      <w:pPr>
        <w:pStyle w:val="TextBody"/>
        <w:bidi w:val="0"/>
        <w:spacing w:before="0" w:after="200"/>
        <w:ind w:left="0" w:right="0" w:firstLine="547"/>
        <w:jc w:val="left"/>
        <w:rPr/>
      </w:pPr>
      <w:r>
        <w:rPr/>
        <w:t>​</w:t>
      </w:r>
    </w:p>
    <w:tbl>
      <w:tblPr>
        <w:tblW w:w="7175" w:type="dxa"/>
        <w:jc w:val="left"/>
        <w:tblInd w:w="0" w:type="dxa"/>
        <w:tblLayout w:type="fixed"/>
        <w:tblCellMar>
          <w:top w:w="0" w:type="dxa"/>
          <w:left w:w="0" w:type="dxa"/>
          <w:bottom w:w="0" w:type="dxa"/>
          <w:right w:w="0" w:type="dxa"/>
        </w:tblCellMar>
      </w:tblPr>
      <w:tblGrid>
        <w:gridCol w:w="4411"/>
        <w:gridCol w:w="346"/>
        <w:gridCol w:w="211"/>
        <w:gridCol w:w="676"/>
        <w:gridCol w:w="346"/>
        <w:gridCol w:w="252"/>
        <w:gridCol w:w="933"/>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800985" cy="175260"/>
                      <wp:effectExtent l="0" t="0" r="0" b="0"/>
                      <wp:wrapNone/>
                      <wp:docPr id="283" name="Frame283"/>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260"/>
                      <wp:effectExtent l="0" t="0" r="0" b="0"/>
                      <wp:wrapNone/>
                      <wp:docPr id="286" name="Frame2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60020" cy="175260"/>
                      <wp:effectExtent l="0" t="0" r="0" b="0"/>
                      <wp:wrapNone/>
                      <wp:docPr id="288" name="Frame288"/>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92455" cy="175260"/>
                      <wp:effectExtent l="0" t="0" r="0" b="0"/>
                      <wp:wrapNone/>
                      <wp:docPr id="289" name="Frame28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43,480</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45,899</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 </w:t>
            </w:r>
          </w:p>
        </w:tc>
        <w:tc>
          <w:tcPr>
            <w:tcW w:w="933" w:type="dxa"/>
            <w:tcBorders/>
            <w:vAlign w:val="center"/>
          </w:tcPr>
          <w:p>
            <w:pPr>
              <w:pStyle w:val="TableContents"/>
              <w:bidi w:val="0"/>
              <w:spacing w:before="0" w:after="1"/>
              <w:ind w:left="0" w:right="0" w:hanging="0"/>
              <w:jc w:val="right"/>
              <w:rPr/>
            </w:pPr>
            <w:r>
              <w:rPr/>
              <w:t>​</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included in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4,043</w:t>
            </w:r>
          </w:p>
        </w:tc>
      </w:tr>
      <w:tr>
        <w:trPr/>
        <w:tc>
          <w:tcPr>
            <w:tcW w:w="44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 included in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43,330</w:t>
            </w:r>
          </w:p>
        </w:tc>
        <w:tc>
          <w:tcPr>
            <w:tcW w:w="346" w:type="dxa"/>
            <w:tcBorders/>
            <w:vAlign w:val="center"/>
          </w:tcPr>
          <w:p>
            <w:pPr>
              <w:pStyle w:val="TableContents"/>
              <w:bidi w:val="0"/>
              <w:spacing w:before="0"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44,401</w:t>
            </w:r>
          </w:p>
        </w:tc>
      </w:tr>
      <w:tr>
        <w:trPr/>
        <w:tc>
          <w:tcPr>
            <w:tcW w:w="44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46,003</w:t>
            </w:r>
          </w:p>
        </w:tc>
        <w:tc>
          <w:tcPr>
            <w:tcW w:w="346" w:type="dxa"/>
            <w:tcBorders/>
            <w:shd w:fill="CCEEFF" w:val="clear"/>
            <w:vAlign w:val="center"/>
          </w:tcPr>
          <w:p>
            <w:pPr>
              <w:pStyle w:val="TableContents"/>
              <w:bidi w:val="0"/>
              <w:spacing w:before="0"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48,444</w:t>
            </w:r>
          </w:p>
        </w:tc>
      </w:tr>
    </w:tbl>
    <w:p>
      <w:pPr>
        <w:pStyle w:val="TextBody"/>
        <w:bidi w:val="0"/>
        <w:spacing w:before="0" w:after="20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following table summarizes components of lease expenses, which were included in total expenses in the Company’s condensed consolidated statements of operations and in inventory in the condensed consolidated balance sheets, and other information related to the Company’s operating leases as follows (in thousands, except weighted-average remaining lease terms and discount rates):</w:t>
      </w:r>
    </w:p>
    <w:p>
      <w:pPr>
        <w:pStyle w:val="TextBody"/>
        <w:bidi w:val="0"/>
        <w:spacing w:before="0" w:after="20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5836"/>
        <w:gridCol w:w="346"/>
        <w:gridCol w:w="211"/>
        <w:gridCol w:w="571"/>
        <w:gridCol w:w="109"/>
        <w:gridCol w:w="211"/>
        <w:gridCol w:w="571"/>
        <w:gridCol w:w="109"/>
        <w:gridCol w:w="211"/>
        <w:gridCol w:w="571"/>
        <w:gridCol w:w="286"/>
        <w:gridCol w:w="211"/>
        <w:gridCol w:w="571"/>
        <w:gridCol w:w="391"/>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705860" cy="175260"/>
                      <wp:effectExtent l="0" t="0" r="0" b="0"/>
                      <wp:wrapNone/>
                      <wp:docPr id="290" name="Frame290"/>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62585" cy="175260"/>
                      <wp:effectExtent l="0" t="0" r="0" b="0"/>
                      <wp:wrapNone/>
                      <wp:docPr id="293" name="Frame2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62585" cy="175260"/>
                      <wp:effectExtent l="0" t="0" r="0" b="0"/>
                      <wp:wrapNone/>
                      <wp:docPr id="296" name="Frame2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2585" cy="175260"/>
                      <wp:effectExtent l="0" t="0" r="0" b="0"/>
                      <wp:wrapNone/>
                      <wp:docPr id="299" name="Frame29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81610" cy="175260"/>
                      <wp:effectExtent l="0" t="0" r="0" b="0"/>
                      <wp:wrapNone/>
                      <wp:docPr id="300" name="Frame30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62585" cy="175260"/>
                      <wp:effectExtent l="0" t="0" r="0" b="0"/>
                      <wp:wrapNone/>
                      <wp:docPr id="302" name="Frame30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48285" cy="175260"/>
                      <wp:effectExtent l="0" t="0" r="0" b="0"/>
                      <wp:wrapNone/>
                      <wp:docPr id="303" name="Frame30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67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185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18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5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4,548</w:t>
            </w:r>
          </w:p>
        </w:tc>
        <w:tc>
          <w:tcPr>
            <w:tcW w:w="2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7,893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w:t>
            </w:r>
          </w:p>
        </w:tc>
        <w:tc>
          <w:tcPr>
            <w:tcW w:w="2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1,582</w:t>
            </w:r>
          </w:p>
        </w:tc>
        <w:tc>
          <w:tcPr>
            <w:tcW w:w="391" w:type="dxa"/>
            <w:tcBorders/>
            <w:vAlign w:val="center"/>
          </w:tcPr>
          <w:p>
            <w:pPr>
              <w:pStyle w:val="TableContents"/>
              <w:bidi w:val="0"/>
              <w:spacing w:before="0" w:after="1"/>
              <w:ind w:left="0" w:right="0" w:hanging="0"/>
              <w:jc w:val="left"/>
              <w:rPr/>
            </w:pPr>
            <w:r>
              <w:rPr/>
              <w:t>​</w:t>
            </w:r>
          </w:p>
        </w:tc>
      </w:tr>
      <w:tr>
        <w:trPr/>
        <w:tc>
          <w:tcPr>
            <w:tcW w:w="5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28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5,607</w:t>
            </w:r>
          </w:p>
        </w:tc>
        <w:tc>
          <w:tcPr>
            <w:tcW w:w="28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9,658</w:t>
            </w:r>
          </w:p>
        </w:tc>
        <w:tc>
          <w:tcPr>
            <w:tcW w:w="391" w:type="dxa"/>
            <w:tcBorders/>
            <w:vAlign w:val="center"/>
          </w:tcPr>
          <w:p>
            <w:pPr>
              <w:pStyle w:val="TableContents"/>
              <w:bidi w:val="0"/>
              <w:spacing w:before="0" w:after="1"/>
              <w:ind w:left="0" w:right="0" w:hanging="0"/>
              <w:jc w:val="left"/>
              <w:rPr/>
            </w:pPr>
            <w:r>
              <w:rPr/>
              <w:t>​</w:t>
            </w:r>
          </w:p>
        </w:tc>
      </w:tr>
      <w:tr>
        <w:trPr/>
        <w:tc>
          <w:tcPr>
            <w:tcW w:w="58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Other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color w:val="FF0000"/>
              </w:rPr>
            </w:pPr>
            <w:r>
              <w:rPr>
                <w:color w:val="FF0000"/>
              </w:rPr>
              <w: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5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included in cash flows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4,568</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7,830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 in right-of-use assets from lease modifications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91" w:type="dxa"/>
            <w:tcBorders/>
            <w:vAlign w:val="center"/>
          </w:tcPr>
          <w:p>
            <w:pPr>
              <w:pStyle w:val="TableContents"/>
              <w:bidi w:val="0"/>
              <w:spacing w:before="0" w:after="1"/>
              <w:ind w:left="0" w:right="0" w:hanging="0"/>
              <w:jc w:val="left"/>
              <w:rPr/>
            </w:pPr>
            <w:r>
              <w:rPr/>
              <w:t>​</w:t>
            </w:r>
          </w:p>
        </w:tc>
      </w:tr>
      <w:tr>
        <w:trPr/>
        <w:tc>
          <w:tcPr>
            <w:tcW w:w="58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terms (years)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14.02</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5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286" w:type="dxa"/>
            <w:tcBorders/>
            <w:vAlign w:val="center"/>
          </w:tcPr>
          <w:p>
            <w:pPr>
              <w:pStyle w:val="TableContents"/>
              <w:bidi w:val="0"/>
              <w:spacing w:before="0" w:after="1"/>
              <w:ind w:left="0" w:right="0" w:hanging="0"/>
              <w:jc w:val="left"/>
              <w:rPr>
                <w:rFonts w:ascii="Aptos Narrow" w:hAnsi="Aptos Narrow"/>
                <w:sz w:val="20"/>
              </w:rPr>
            </w:pPr>
            <w:r>
              <w:rPr>
                <w:rFonts w:ascii="Aptos Narrow" w:hAnsi="Aptos Narrow"/>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91" w:type="dxa"/>
            <w:tcBorders/>
            <w:vAlign w:val="center"/>
          </w:tcPr>
          <w:p>
            <w:pPr>
              <w:pStyle w:val="TableContents"/>
              <w:bidi w:val="0"/>
              <w:spacing w:before="0" w:after="1"/>
              <w:ind w:left="0" w:right="0" w:hanging="0"/>
              <w:jc w:val="left"/>
              <w:rPr>
                <w:rFonts w:ascii="Aptos Narrow" w:hAnsi="Aptos Narrow"/>
                <w:sz w:val="20"/>
              </w:rPr>
            </w:pPr>
            <w:r>
              <w:rPr>
                <w:rFonts w:ascii="Aptos Narrow" w:hAnsi="Aptos Narrow"/>
                <w:sz w:val="20"/>
              </w:rPr>
              <w:t>%</w:t>
            </w:r>
          </w:p>
        </w:tc>
      </w:tr>
    </w:tbl>
    <w:p>
      <w:pPr>
        <w:pStyle w:val="TextBody"/>
        <w:bidi w:val="0"/>
        <w:spacing w:before="0" w:after="20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As of June 30, 2026, the maturities of the Company’s operating lease liabilities were as follows (in thousands):</w:t>
      </w:r>
    </w:p>
    <w:p>
      <w:pPr>
        <w:pStyle w:val="TextBody"/>
        <w:bidi w:val="0"/>
        <w:spacing w:before="0" w:after="0"/>
        <w:ind w:left="0" w:right="0" w:hanging="0"/>
        <w:jc w:val="left"/>
        <w:rPr/>
      </w:pPr>
      <w:r>
        <w:rPr/>
        <w:t>​</w:t>
      </w:r>
    </w:p>
    <w:tbl>
      <w:tblPr>
        <w:tblW w:w="5125" w:type="dxa"/>
        <w:jc w:val="left"/>
        <w:tblInd w:w="0" w:type="dxa"/>
        <w:tblLayout w:type="fixed"/>
        <w:tblCellMar>
          <w:top w:w="0" w:type="dxa"/>
          <w:left w:w="0" w:type="dxa"/>
          <w:bottom w:w="0" w:type="dxa"/>
          <w:right w:w="0" w:type="dxa"/>
        </w:tblCellMar>
      </w:tblPr>
      <w:tblGrid>
        <w:gridCol w:w="2611"/>
        <w:gridCol w:w="109"/>
        <w:gridCol w:w="211"/>
        <w:gridCol w:w="796"/>
        <w:gridCol w:w="346"/>
        <w:gridCol w:w="211"/>
        <w:gridCol w:w="84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57985" cy="175260"/>
                      <wp:effectExtent l="0" t="0" r="0" b="0"/>
                      <wp:wrapNone/>
                      <wp:docPr id="304" name="Frame304"/>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5460" cy="175260"/>
                      <wp:effectExtent l="0" t="0" r="0" b="0"/>
                      <wp:wrapNone/>
                      <wp:docPr id="307" name="Frame3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34035" cy="175260"/>
                      <wp:effectExtent l="0" t="0" r="0" b="0"/>
                      <wp:wrapNone/>
                      <wp:docPr id="310" name="Frame31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Facility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December 31, </w:t>
            </w:r>
          </w:p>
        </w:tc>
        <w:tc>
          <w:tcPr>
            <w:tcW w:w="109"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5,469</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5,016</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4,838</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4,610</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53,393</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76,629</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Present value adjustment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(30,626)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46,003</w:t>
            </w:r>
          </w:p>
        </w:tc>
      </w:tr>
    </w:tbl>
    <w:p>
      <w:pPr>
        <w:pStyle w:val="TextBody"/>
        <w:bidi w:val="0"/>
        <w:spacing w:before="0" w:after="200"/>
        <w:ind w:left="0" w:right="0" w:firstLine="547"/>
        <w:jc w:val="left"/>
        <w:rPr/>
      </w:pPr>
      <w:r>
        <w:rPr/>
        <w:t>​</w:t>
      </w:r>
    </w:p>
    <w:p>
      <w:pPr>
        <w:pStyle w:val="TextBody"/>
        <w:bidi w:val="0"/>
        <w:spacing w:before="0" w:after="200"/>
        <w:ind w:left="0" w:right="0" w:hanging="0"/>
        <w:jc w:val="left"/>
        <w:rPr/>
      </w:pPr>
      <w:r>
        <w:rPr/>
        <w:t>​</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LEGAL PROCEEDINGS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Shumacher Derivative Lawsuit. On December 11, 2020, a purported stockholder derivative complaint was filed by plaintiff Leo Shumacher against the Company, as nominal defendant, and then current directors, as defendants, in the Court of Chancery in the State of Delaware (the “Court of Chancery”). The complaint alleges breach of fiduciary duty and a claim for unjust enrichment in connection with alleged excessive compensation of certain non-executive directors of the Company and seeks unspecified damages on behalf of the Company. The parties agreed to a proposed settlement, which was submitted to the Court of Chancery on June 15, 2022. After a hearing on November 17, 2022, the Court of Chancery required the parties to take additional steps before it would approve the settlement. The Company, as nominal defendant, and its current directors, as defendants, answered the complaint on February 3, 2023. The parties agreed to a revised proposed settlement, which was submitted to the Court of Chancery on March 12, 2024. On January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17, 2025, a non-party stockholder (The Paul Berger Revocable Trust), which objected to the revised proposed settlement, filed a derivative complaint and letter with the Court suggesting consolidation. On May 29, 2025, the Court issued an order consolidating the cases and appointing the Paul Berger Revocable Trust as lead plaintiff and its counsel as lead counsel. On September 2, 2025, the plaintiff filed a consolidated complaint in the matter, now captioned </w:t>
      </w:r>
      <w:r>
        <w:rPr>
          <w:rFonts w:ascii="Times New Roman;Times;serif" w:hAnsi="Times New Roman;Times;serif"/>
          <w:i/>
          <w:sz w:val="20"/>
        </w:rPr>
        <w:t>In re: Iovance Biotherapeutics, Inc. Stockholder Litigation</w:t>
      </w:r>
      <w:r>
        <w:rPr>
          <w:rFonts w:ascii="Times New Roman;Times;serif" w:hAnsi="Times New Roman;Times;serif"/>
          <w:sz w:val="20"/>
        </w:rPr>
        <w:t xml:space="preserve">. The defendants filed a motion to dismiss certain claims in the consolidated complaint on November 24, 2025, the plaintiff’s response to which will be filed after resolution of certain discovery issues. The Company intends to vigorously defend against this matter.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Ohio Laborers Derivative Lawsuit. On September 11, 2024, a purported stockholder derivative complaint was filed by plaintiff Northern California Pipe Trades Trust Fund against the Company, as nominal defendant, and certain directors, as defendants, in the Court of Chancery. The complaint alleges breach of fiduciary duty in connection with the February 2024 underwritten public offering of 23,014,000 shares of the Company’s common stock. On November 22, 2024, the defendants filed a motion to dismiss the complaint. On December 5, 2024, the plaintiff filed an amended complaint adding an additional director defendant. On January 10, 2025, defendants filed a motion to dismiss the amended complaint. On February 3, 2025, the Court approved substitution of Laborers’ District Council and Contractors’ Pension Fund of Ohio (“Ohio Laborers”) as representative plaintiff. The plaintiff filed a motion for leave to file a second amended complaint on October 2, 2025. On October 21, 2025, the Court granted the parties’ stipulation allowing the plaintiff to file its second amended complaint, which it filed on October 22, 2025. The defendants filed a motion to dismiss the second amended complaint on December 12, 2025. On February 11, 2026, the plaintiff filed an opposition to the defendants’ motion to dismiss. The defendants filed their reply brief on March 18, 2026. The Company intends to vigorously defend against this complaint.</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Solomon Capital, LLC. On April 8, 2016, a lawsuit (the “First Solomon Suit”) titled </w:t>
      </w:r>
      <w:r>
        <w:rPr>
          <w:rFonts w:ascii="Times New Roman;Times;serif" w:hAnsi="Times New Roman;Times;serif"/>
          <w:i/>
          <w:sz w:val="20"/>
        </w:rPr>
        <w:t>Solomon Capital, LLC, Solomon Capital 401(K) Trust, Solomon Sharbat and Shelhav Raff v. Lion Biotechnologies, Inc.</w:t>
      </w:r>
      <w:r>
        <w:rPr>
          <w:rFonts w:ascii="Times New Roman;Times;serif" w:hAnsi="Times New Roman;Times;serif"/>
          <w:sz w:val="20"/>
        </w:rPr>
        <w:t xml:space="preserve"> was filed by Solomon Capital, LLC, Solomon Capital 401(k) Trust, Solomon Sharbat and Shelhav Raff (“Solomon Plaintiffs”) against the Company in the Supreme Court of the State of New York, County of New York (index no. 651881/2016) (the “court”). The Solomon Plaintiffs allege that, between June and November 2012, they provided the Company $0.1 million and that they advanced and paid on behalf of the Company an additional $0.2 million.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complaint further alleges that the Company agreed to (i) provide them with promissory notes totaling $0.2 million, plus interest, (ii) issue a total of 1,110 shares to the Solomon Plaintiffs (after the </w:t>
      </w:r>
      <w:r>
        <w:rPr>
          <w:rFonts w:ascii="Times New Roman;Times;serif" w:hAnsi="Times New Roman;Times;serif"/>
          <w:b w:val="false"/>
          <w:i w:val="false"/>
          <w:caps w:val="false"/>
          <w:smallCaps w:val="false"/>
          <w:sz w:val="20"/>
        </w:rPr>
        <w:t>1-for-100</w:t>
      </w:r>
      <w:r>
        <w:rPr>
          <w:rFonts w:ascii="Times New Roman;Times;serif" w:hAnsi="Times New Roman;Times;serif"/>
          <w:sz w:val="20"/>
        </w:rPr>
        <w:t xml:space="preserve">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The Company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its counterclaims, the Company seeks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January 22, 2025, Solomon Sharbat and Shelhav Raff (through new legal counsel) filed a motion for leave to file an amended complaint in the First Solomon Suit, which the Company opposed. On March 10, 2025, the Company filed a motion for summary judgment, in the First Solomon Suit. Following oral argument on December 3, 2025, the court denied the Solomon Plaintiffs’ motion for leave to amend and granted the Company’s motion for summary judgment. The Solomon Plaintiffs filed a notice of appeal of the court’s decision to the Appellate Division on April 13, 2026. On July 17, 2026, the court clerk entered judgment in the Company’s favor, dismissing the Plaintiffs’ complaint with prejudice and the Company’s counterclaims without prejudice.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On September 27, 2019, the Solomon Plaintiffs filed a new lawsuit (through new legal counsel) (the “Second Solomon Suit”) titled </w:t>
      </w:r>
      <w:r>
        <w:rPr>
          <w:rFonts w:ascii="Times New Roman;Times;serif" w:hAnsi="Times New Roman;Times;serif"/>
          <w:i/>
          <w:sz w:val="20"/>
        </w:rPr>
        <w:t xml:space="preserve">Solomon Capital, LLC, Solomon Capital 401(K) Trust, Solomon Sharbat and Shelhav Raff v. Iovance Biotherapeutics, Inc.,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i/>
          <w:sz w:val="20"/>
        </w:rPr>
        <w:t>f/k/a/ Lion Biotechnologies Inc. f/k/a/ Genesis Biopharma Inc., and Manish Singh</w:t>
      </w:r>
      <w:r>
        <w:rPr>
          <w:rFonts w:ascii="Times New Roman;Times;serif" w:hAnsi="Times New Roman;Times;serif"/>
          <w:sz w:val="20"/>
        </w:rPr>
        <w:t xml:space="preserve"> in the Supreme Court of the State of New York, County of 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On February 18, 2020, the Company filed a removal petition and removed the Second Solomon Suit to the U.S. District Court for the Southern District of New York (the “District Court”), where the case has been assigned case no. 1:20-cv-1391. On May 22, 2020, the Company moved to dismiss the Second Solomon Suit for lack of personal jurisdiction. On March 26, 2021, the District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District Court granted the Company’s motions for judgment on the pleadings, dismissing the second and third claims against the Company and dismissing all claims against Singh. On January 4, 2023, the District Court granted in part the Company’s motion for sanctions against the Solomon Plaintiffs for violating Rule 11 of the Federal Rules of Civil Procedure, in a decision and order that dismissed the Solomon Plaintiffs’ first claim against the Company, denied the Solomon Plaintiffs’ motion for leave to amend the complaint, and ordered the Solomon Plaintiffs to pay the Company’s attorneys’ fees incurred in connection with the Rule 11 motion. Following the District Court’s decision and order on the Rule 11 motion, only the Solomon Plaintiffs’ fifth and sixth claims, for unjust enrichment and indemnification, respectively, remained pending against the Company. On October 26, 2023, the District Court granted the Company’s motion for summary judgment and dismissed the Solomon Plaintiffs’ fifth and sixth claims. On October 27, 2023, the District Court entered judgment for the Company and closed the Second Solomon Suit. On November 10, 2023, the Company filed a motion for attorneys’ fees as the prevailing party in the action. On December 1, 2023, the Solomon Plaintiffs filed a notice of appeal to the U.S. Court of Appeals for the Second Circuit appealing the District Court’s orders (a) granting the motions for judgment on the pleadings filed on behalf of Singh and the Company, (b) granting the Company’s Rule 11 motion, (c) denying the Solomon Plaintiffs’ motions to compel discovery and re-open discovery, and (d) granting the Company’s summary judgment motion. On December 22, 2023, the Company filed a motion for an order requiring the Solomon Plaintiffs to post an appeal bond, to ensure payment of the Company’s appellate fees and costs should the Company prevail on the appeal. On May 9, 2024, the District Court issued an order granting the Company’s motions for attorneys’ fees and for an appeal bond. On June 28, 2024, the Company filed motions to dismiss the appeal on the grounds that the Solomon Plaintiffs (a) do not have an opening brief on file, which the Second Circuit Court denied, and (b) have not filed an appeal bond. The District Court entered judgment in favor of the Company on September 23, 2024, including a monetary award pursuant to the District Court’s Rule 11 order and orders for attorneys’ fees and costs. On October 9, 2024, the Second Circuit Court stated that it will dismiss the appeal unless the Solomon Plaintiffs post the appeal bond by October 23, 2024. The Solomon Plaintiffs then moved for an extension of time until November 23, 2024 to post the appeal bond. The Company filed an opposition to the motion. The Second Circuit Court denied the Solomon Plaintiffs’ motion for an extension of time on November 7, 2024, and dismissed the appeal on November 8, 2024. On August 15, 2025, the Solomon Plaintiffs filed a motion to vacate or modify the Rule 11 sanctions order, which the District Court denied on September 4, 2025. On January 29, 2026, the Solomon Plaintiffs filed a motion for extension of time to appeal the District Court’s September 4, 2025 order and for a stay of collection efforts, which the Company opposed on February 4, 2026. On March 23, 2026, the District Court denied the Solomon Plaintiffs’ motion for extension of time to appeal.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Securities Class Actions and Shareholder Derivative Cases. On May 15, 2025, two putative securities class actions were filed in the United States District Court for the Northern District of California (“Northern District of California”), captioned </w:t>
      </w:r>
      <w:r>
        <w:rPr>
          <w:rFonts w:ascii="Times New Roman;Times;serif" w:hAnsi="Times New Roman;Times;serif"/>
          <w:i/>
          <w:sz w:val="20"/>
        </w:rPr>
        <w:t>Sundaram v. Iovance Biotherapeutics, Inc., et al</w:t>
      </w:r>
      <w:r>
        <w:rPr>
          <w:rFonts w:ascii="Times New Roman;Times;serif" w:hAnsi="Times New Roman;Times;serif"/>
          <w:sz w:val="20"/>
        </w:rPr>
        <w:t>., No. 25-cv-04177 (“</w:t>
      </w:r>
      <w:r>
        <w:rPr>
          <w:rFonts w:ascii="Times New Roman;Times;serif" w:hAnsi="Times New Roman;Times;serif"/>
          <w:i/>
          <w:sz w:val="20"/>
        </w:rPr>
        <w:t>Sundaram</w:t>
      </w:r>
      <w:r>
        <w:rPr>
          <w:rFonts w:ascii="Times New Roman;Times;serif" w:hAnsi="Times New Roman;Times;serif"/>
          <w:sz w:val="20"/>
        </w:rPr>
        <w:t xml:space="preserve">”) and </w:t>
      </w:r>
      <w:r>
        <w:rPr>
          <w:rFonts w:ascii="Times New Roman;Times;serif" w:hAnsi="Times New Roman;Times;serif"/>
          <w:i/>
          <w:sz w:val="20"/>
        </w:rPr>
        <w:t>Farberov v. Iovance Biotherapeutics, Inc., et al</w:t>
      </w:r>
      <w:r>
        <w:rPr>
          <w:rFonts w:ascii="Times New Roman;Times;serif" w:hAnsi="Times New Roman;Times;serif"/>
          <w:sz w:val="20"/>
        </w:rPr>
        <w:t>., No. 25-cv-04199 (“</w:t>
      </w:r>
      <w:r>
        <w:rPr>
          <w:rFonts w:ascii="Times New Roman;Times;serif" w:hAnsi="Times New Roman;Times;serif"/>
          <w:i/>
          <w:sz w:val="20"/>
        </w:rPr>
        <w:t>Farberov</w:t>
      </w:r>
      <w:r>
        <w:rPr>
          <w:rFonts w:ascii="Times New Roman;Times;serif" w:hAnsi="Times New Roman;Times;serif"/>
          <w:sz w:val="20"/>
        </w:rPr>
        <w:t xml:space="preserve">”), naming the Company and certain of the Company’s officers as defendants. The complaints purport to assert claims against the defendants under Section 10(b) of the Securities Exchange Act of 1934 (the “1934 Act”), SEC Rule 10b-5, and Section 20(a) of the 1934 Act. The </w:t>
      </w:r>
      <w:r>
        <w:rPr>
          <w:rFonts w:ascii="Times New Roman;Times;serif" w:hAnsi="Times New Roman;Times;serif"/>
          <w:i/>
          <w:sz w:val="20"/>
        </w:rPr>
        <w:t>Sundaram</w:t>
      </w:r>
      <w:r>
        <w:rPr>
          <w:rFonts w:ascii="Times New Roman;Times;serif" w:hAnsi="Times New Roman;Times;serif"/>
          <w:sz w:val="20"/>
        </w:rPr>
        <w:t xml:space="preserve"> action is on behalf of persons or entities who acquired the Company’s common stock between August 8, 2024 and May 8, 2025, and the </w:t>
      </w:r>
      <w:r>
        <w:rPr>
          <w:rFonts w:ascii="Times New Roman;Times;serif" w:hAnsi="Times New Roman;Times;serif"/>
          <w:i/>
          <w:sz w:val="20"/>
        </w:rPr>
        <w:t>Farberov</w:t>
      </w:r>
      <w:r>
        <w:rPr>
          <w:rFonts w:ascii="Times New Roman;Times;serif" w:hAnsi="Times New Roman;Times;serif"/>
          <w:sz w:val="20"/>
        </w:rPr>
        <w:t xml:space="preserve"> action is on behalf of persons or entities who acquired the Company’s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between May 9, 2024 and May 8, 2025. Each putative class action arises out of the Company’s quarterly disclosure of financial results on May 8, 2025, and the decline in the price of the Company’s common stock the following day, and involve allegations that during the respective class periods, defendants made materially false and misleading statements regarding the Company’s expected revenue for fiscal year 2025, which the plaintiffs claim artificially inflated the price of the Company’s common stock. The actions seek compensatory damages and costs and expenses incurred in the actions, including attorneys’ fees. On December 15, 2025, the court consolidated the class actions, now captioned </w:t>
      </w:r>
      <w:r>
        <w:rPr>
          <w:rFonts w:ascii="Times New Roman;Times;serif" w:hAnsi="Times New Roman;Times;serif"/>
          <w:i/>
          <w:sz w:val="20"/>
        </w:rPr>
        <w:t>In re Iovance Biotherapeutics, Inc. Securities Litigation</w:t>
      </w:r>
      <w:r>
        <w:rPr>
          <w:rFonts w:ascii="Times New Roman;Times;serif" w:hAnsi="Times New Roman;Times;serif"/>
          <w:sz w:val="20"/>
        </w:rPr>
        <w:t>, No. 25-cv-04177, and appointed lead plaintiff and plaintiffs’ counsel.</w:t>
      </w:r>
      <w:r>
        <w:rPr>
          <w:rFonts w:ascii="Times New Roman;Times;serif" w:hAnsi="Times New Roman;Times;serif"/>
          <w:sz w:val="24"/>
        </w:rPr>
        <w:br/>
      </w:r>
      <w:r>
        <w:rPr>
          <w:rFonts w:ascii="Times New Roman;Times;serif" w:hAnsi="Times New Roman;Times;serif"/>
          <w:sz w:val="20"/>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On June 5, 2025, two putative shareholder derivative lawsuits were filed in the Northern District of California, captioned </w:t>
      </w:r>
      <w:r>
        <w:rPr>
          <w:rFonts w:ascii="Times New Roman;Times;serif" w:hAnsi="Times New Roman;Times;serif"/>
          <w:i/>
          <w:sz w:val="20"/>
        </w:rPr>
        <w:t>Hollin v. Vogt, et al</w:t>
      </w:r>
      <w:r>
        <w:rPr>
          <w:rFonts w:ascii="Times New Roman;Times;serif" w:hAnsi="Times New Roman;Times;serif"/>
          <w:sz w:val="20"/>
        </w:rPr>
        <w:t xml:space="preserve">., 3:25-cv-04740 and </w:t>
      </w:r>
      <w:r>
        <w:rPr>
          <w:rFonts w:ascii="Times New Roman;Times;serif" w:hAnsi="Times New Roman;Times;serif"/>
          <w:i/>
          <w:sz w:val="20"/>
        </w:rPr>
        <w:t>Gera, et al. v. Vogt, et al</w:t>
      </w:r>
      <w:r>
        <w:rPr>
          <w:rFonts w:ascii="Times New Roman;Times;serif" w:hAnsi="Times New Roman;Times;serif"/>
          <w:sz w:val="20"/>
        </w:rPr>
        <w:t xml:space="preserve">., 3:25-cv-04794, purportedly brought on behalf of Iovance against certain current and former officers and directors of the Company. A third putative shareholder derivative lawsuit, captioned </w:t>
      </w:r>
      <w:r>
        <w:rPr>
          <w:rFonts w:ascii="Times New Roman;Times;serif" w:hAnsi="Times New Roman;Times;serif"/>
          <w:i/>
          <w:sz w:val="20"/>
        </w:rPr>
        <w:t>Bitton v. Bellemin, et. al</w:t>
      </w:r>
      <w:r>
        <w:rPr>
          <w:rFonts w:ascii="Times New Roman;Times;serif" w:hAnsi="Times New Roman;Times;serif"/>
          <w:sz w:val="20"/>
        </w:rPr>
        <w:t xml:space="preserve">., 3:25-cv-09701, was filed in the Northern District of California on November 12, 2025. Iovance is named as a nominal defendant in the complaints. The lawsuits contain allegations based on or similar to those in the putative securities class actions and claim, among other things, that the named individual defendants breached their fiduciary duties and violated Section 14(a) of the 1934 Act by issuing or causing the Company to issue false and misleading disclosures concerning the Company’s financial forecasts for fiscal year 2025. Before filing the complaints, the plaintiffs did not make a demand that the Company’s Board of Directors consider the claims therein. The lawsuits seek money damages, corporate governance reforms, restitution, punitive damages, and costs and expenses of the lawsuits, including attorneys’ fees. On December 15, 2025, the court consolidated the derivative lawsuits, now captioned </w:t>
      </w:r>
      <w:r>
        <w:rPr>
          <w:rFonts w:ascii="Times New Roman;Times;serif" w:hAnsi="Times New Roman;Times;serif"/>
          <w:i/>
          <w:sz w:val="20"/>
        </w:rPr>
        <w:t>In re Iovance Biotherapeutics, Inc. Derivative Litigation</w:t>
      </w:r>
      <w:r>
        <w:rPr>
          <w:rFonts w:ascii="Times New Roman;Times;serif" w:hAnsi="Times New Roman;Times;serif"/>
          <w:sz w:val="20"/>
        </w:rPr>
        <w:t>, No. 5:25-cv-04740, and appointed co-lead plaintiff and plaintiffs’ counsel. On March 24, 2026, the court granted the parties’ stipulation to stay the derivative litigation pending resolution of the securities litigation. The plaintiff in the securities litigation filed a consolidated amended complaint on April 15, 2026, which the Company moved to dismiss on June 15, 2026.</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Based on the preliminary nature of the proceedings in these actions, the outcomes remain uncertain and we cannot estimate the potential impact, if any, on the Company’s business or financial statements at this time.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has been and may continue to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INCOME TAXES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Company generally calculates its provision for income taxes during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For the three and six months ended June 30, 2026, small changes in estimated annual pretax income (loss) by legal entity can produce a significant variance in the annual effective tax rate. This variability produces an unreliable estimate of the income tax expense. As a result, in accordance with ASC 740, the Company has computed its benefit from income taxes for the three and six months ended June 30, 2026 by applying the actual effective tax rate to the pretax loss for the six month period. For the three and six months ended June 30, 2025, the Company used the estimated annual effective tax rate method to compute tax benefit.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Company recorded a tax benefit of $1.4 million and $2.0 million for the three and six months ended June 30, 2026, which resulted in effective tax rates of 2.82% and 1.58%, respectively. The Company recorded tax expense of $2.0 million and $0.2 million for the three and six months ended June 30, 2025 respectively, which resulted in effective tax rates of -1.81% and -0.1%, respectively. The effective tax rate is different from the U.S. statutory rate of 21% due to the full valuation allowance against tax losses in the U.S. The income tax benefit and expense for the periods presented for 2026 and 2025, respectively, primarily relate to operations in the UK and realization of related deferred taxes.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2026, the Company continued to maintain its full valuation allowance against U.S. federal and state net deferred tax assets as it expected to be in a cumulative loss position and does not have sufficient positive evidence to support the realizability of its U.S. net deferred tax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766" w:name="Item2ManagementsDiscussionandAnalysisofF"/>
      <w:bookmarkStart w:id="1767" w:name="_ef633b2e_631e_4782_b860_2b9602db87f2"/>
      <w:bookmarkEnd w:id="1766"/>
      <w:bookmarkEnd w:id="1767"/>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i/>
          <w:sz w:val="20"/>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w:t>
      </w:r>
      <w:r>
        <w:rPr>
          <w:rFonts w:ascii="Times New Roman;Times;serif" w:hAnsi="Times New Roman;Times;serif"/>
          <w:sz w:val="20"/>
        </w:rPr>
        <w:t xml:space="preserve"> “</w:t>
      </w:r>
      <w:r>
        <w:rPr>
          <w:rFonts w:ascii="Times New Roman;Times;serif" w:hAnsi="Times New Roman;Times;serif"/>
          <w:i/>
          <w:sz w:val="20"/>
        </w:rPr>
        <w:t>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lineRule="auto" w:line="302" w:before="0" w:after="0"/>
        <w:ind w:left="0" w:right="0" w:firstLine="492"/>
        <w:jc w:val="left"/>
        <w:rPr>
          <w:rFonts w:ascii="Times New Roman;Times;serif" w:hAnsi="Times New Roman;Times;serif"/>
          <w:sz w:val="20"/>
        </w:rPr>
      </w:pPr>
      <w:r>
        <w:rPr>
          <w:rFonts w:ascii="Times New Roman;Times;serif" w:hAnsi="Times New Roman;Times;serif"/>
          <w:sz w:val="20"/>
        </w:rPr>
        <w:t xml:space="preserve">We are a commercial-stage biopharmaceutical company pioneering a transformational approach to treating cancer. Our mission is to be the global leader in innovating, developing, and delivering tumor infiltrating lymphocyte, or TIL, cell therapies for patients with solid tumor cancers. TIL cell therapies harness the individual immune system’s ability to recognize and destroy diverse cancer cells that are unique to each patient. These individualized therapies are manufactured using centralized, scalable, and proprietary manufacturing processes which rejuvenate and multiply each patient’s polyclonal T cells into the billions. </w:t>
      </w:r>
    </w:p>
    <w:p>
      <w:pPr>
        <w:pStyle w:val="TextBody"/>
        <w:bidi w:val="0"/>
        <w:spacing w:lineRule="auto" w:line="302" w:before="0" w:after="0"/>
        <w:ind w:left="0" w:right="0" w:firstLine="492"/>
        <w:jc w:val="left"/>
        <w:rPr/>
      </w:pPr>
      <w:r>
        <w:rPr/>
        <w:t>​</w:t>
      </w:r>
    </w:p>
    <w:p>
      <w:pPr>
        <w:pStyle w:val="TextBody"/>
        <w:bidi w:val="0"/>
        <w:spacing w:lineRule="auto" w:line="300" w:before="0" w:after="0"/>
        <w:ind w:left="0" w:right="0" w:firstLine="492"/>
        <w:jc w:val="left"/>
        <w:rPr>
          <w:rFonts w:ascii="Times New Roman;Times;serif" w:hAnsi="Times New Roman;Times;serif"/>
          <w:sz w:val="20"/>
        </w:rPr>
      </w:pPr>
      <w:r>
        <w:rPr>
          <w:rFonts w:ascii="Times New Roman;Times;serif" w:hAnsi="Times New Roman;Times;serif"/>
          <w:sz w:val="20"/>
        </w:rPr>
        <w:t xml:space="preserve">Iovance was founded to build upon the promise of TIL cell therapy initially developed at academic research centers, including the National Cancer Institute, or the NCI. Our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 </w:t>
      </w:r>
    </w:p>
    <w:p>
      <w:pPr>
        <w:pStyle w:val="TextBody"/>
        <w:bidi w:val="0"/>
        <w:spacing w:lineRule="auto" w:line="302" w:before="0" w:after="0"/>
        <w:ind w:left="0" w:right="0" w:firstLine="492"/>
        <w:jc w:val="left"/>
        <w:rPr/>
      </w:pPr>
      <w:r>
        <w:rPr/>
        <w:t>​</w:t>
      </w:r>
    </w:p>
    <w:p>
      <w:pPr>
        <w:pStyle w:val="TextBody"/>
        <w:bidi w:val="0"/>
        <w:spacing w:lineRule="auto" w:line="240" w:before="0" w:after="0"/>
        <w:ind w:left="0" w:right="0" w:firstLine="492"/>
        <w:jc w:val="left"/>
        <w:rPr>
          <w:rFonts w:ascii="Times New Roman;Times;serif" w:hAnsi="Times New Roman;Times;serif"/>
          <w:sz w:val="20"/>
        </w:rPr>
      </w:pPr>
      <w:r>
        <w:rPr>
          <w:rFonts w:ascii="Times New Roman;Times;serif" w:hAnsi="Times New Roman;Times;serif"/>
          <w:sz w:val="20"/>
        </w:rPr>
        <w:t>Our two commercial products include Amtagvi</w:t>
      </w:r>
      <w:r>
        <w:rPr>
          <w:rFonts w:ascii="Times New Roman;Times;serif" w:hAnsi="Times New Roman;Times;serif"/>
          <w:sz w:val="15"/>
        </w:rPr>
        <w:t>®</w:t>
      </w:r>
      <w:r>
        <w:rPr>
          <w:rFonts w:ascii="Times New Roman;Times;serif" w:hAnsi="Times New Roman;Times;serif"/>
          <w:sz w:val="20"/>
        </w:rPr>
        <w:t xml:space="preserve"> (lifileucel) and Proleukin</w:t>
      </w:r>
      <w:r>
        <w:rPr>
          <w:rFonts w:ascii="Times New Roman;Times;serif" w:hAnsi="Times New Roman;Times;serif"/>
          <w:sz w:val="15"/>
        </w:rPr>
        <w:t>®</w:t>
      </w:r>
      <w:r>
        <w:rPr>
          <w:rFonts w:ascii="Times New Roman;Times;serif" w:hAnsi="Times New Roman;Times;serif"/>
          <w:sz w:val="20"/>
        </w:rPr>
        <w:t xml:space="preserve"> (aldesleukin), an interleukin-2, or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other applications. </w:t>
      </w:r>
    </w:p>
    <w:p>
      <w:pPr>
        <w:pStyle w:val="TextBody"/>
        <w:bidi w:val="0"/>
        <w:spacing w:lineRule="auto" w:line="302" w:before="0" w:after="0"/>
        <w:ind w:left="0" w:right="0" w:firstLine="492"/>
        <w:jc w:val="left"/>
        <w:rPr/>
      </w:pPr>
      <w:r>
        <w:rPr/>
        <w:t>​</w:t>
      </w:r>
    </w:p>
    <w:p>
      <w:pPr>
        <w:pStyle w:val="TextBody"/>
        <w:bidi w:val="0"/>
        <w:spacing w:lineRule="auto" w:line="240" w:before="0" w:after="0"/>
        <w:ind w:left="0" w:right="0" w:firstLine="492"/>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is the first one-time, individualized T cell therapy for a solid tumor cancer and for the treatment of adult patients with previously treated advanced melanoma, defined as unresectable or metastatic melanoma, approved for use in the U.S., Canada, and Australia. Amtagvi</w:t>
      </w:r>
      <w:r>
        <w:rPr>
          <w:rFonts w:ascii="Times New Roman;Times;serif" w:hAnsi="Times New Roman;Times;serif"/>
          <w:sz w:val="15"/>
        </w:rPr>
        <w:t>®</w:t>
      </w:r>
      <w:r>
        <w:rPr>
          <w:rFonts w:ascii="Times New Roman;Times;serif" w:hAnsi="Times New Roman;Times;serif"/>
          <w:sz w:val="20"/>
        </w:rPr>
        <w:t xml:space="preserve"> is administered as part of a treatment regimen that includes lymphodepletion and a short course of Proleukin</w:t>
      </w:r>
      <w:r>
        <w:rPr>
          <w:rFonts w:ascii="Times New Roman;Times;serif" w:hAnsi="Times New Roman;Times;serif"/>
          <w:sz w:val="15"/>
        </w:rPr>
        <w:t>®</w:t>
      </w:r>
      <w:r>
        <w:rPr>
          <w:rFonts w:ascii="Times New Roman;Times;serif" w:hAnsi="Times New Roman;Times;serif"/>
          <w:sz w:val="20"/>
        </w:rPr>
        <w:t xml:space="preserve">. </w:t>
      </w:r>
    </w:p>
    <w:p>
      <w:pPr>
        <w:pStyle w:val="TextBody"/>
        <w:bidi w:val="0"/>
        <w:spacing w:lineRule="auto" w:line="302" w:before="0" w:after="0"/>
        <w:ind w:left="0" w:right="0" w:firstLine="492"/>
        <w:jc w:val="left"/>
        <w:rPr/>
      </w:pPr>
      <w:r>
        <w:rPr/>
        <w:t>​</w:t>
      </w:r>
    </w:p>
    <w:p>
      <w:pPr>
        <w:pStyle w:val="TextBody"/>
        <w:bidi w:val="0"/>
        <w:spacing w:lineRule="auto" w:line="240" w:before="0" w:after="0"/>
        <w:ind w:left="0" w:right="0" w:firstLine="492"/>
        <w:jc w:val="left"/>
        <w:rPr>
          <w:rFonts w:ascii="Times New Roman;Times;serif" w:hAnsi="Times New Roman;Times;serif"/>
          <w:sz w:val="20"/>
        </w:rPr>
      </w:pPr>
      <w:r>
        <w:rPr>
          <w:rFonts w:ascii="Times New Roman;Times;serif" w:hAnsi="Times New Roman;Times;serif"/>
          <w:sz w:val="20"/>
        </w:rPr>
        <w:t>Globally, Amtagvi</w:t>
      </w:r>
      <w:r>
        <w:rPr>
          <w:rFonts w:ascii="Times New Roman;Times;serif" w:hAnsi="Times New Roman;Times;serif"/>
          <w:sz w:val="15"/>
        </w:rPr>
        <w:t>®</w:t>
      </w:r>
      <w:r>
        <w:rPr>
          <w:rFonts w:ascii="Times New Roman;Times;serif" w:hAnsi="Times New Roman;Times;serif"/>
          <w:sz w:val="20"/>
        </w:rPr>
        <w:t xml:space="preserve"> has the potential to address more than 30,000 previously treated advanced melanoma patients annually. We plan to launch into additional markets with a high prevalence of advanced melanoma. On June 4, 2026, we received marketing authorization with conditions from the Therapeutic Goods Administration of Australia for Amtagvi</w:t>
      </w:r>
      <w:r>
        <w:rPr>
          <w:rFonts w:ascii="Times New Roman;Times;serif" w:hAnsi="Times New Roman;Times;serif"/>
          <w:sz w:val="15"/>
        </w:rPr>
        <w:t>®</w:t>
      </w:r>
      <w:r>
        <w:rPr>
          <w:rFonts w:ascii="Times New Roman;Times;serif" w:hAnsi="Times New Roman;Times;serif"/>
          <w:sz w:val="20"/>
        </w:rPr>
        <w:t xml:space="preserve"> for previously treated advanced (metastatic or unresectable) melanoma. In the United Kingdom, or UK, we resubmitted the marketing authorization application, or MAA, with additional information in July 2026. The Medicines and Healthcare products Regulatory Agency, or MHRA, is conducting an expedited review, with potential approval expected later in 2026. Potential approval is pending in Switzerland in 2027. In the European Union, or EU, we are working with the European Medicines Agency, or EMA, to resubmit a centralized MAA in 2026 or 2027. </w:t>
      </w:r>
    </w:p>
    <w:p>
      <w:pPr>
        <w:pStyle w:val="TextBody"/>
        <w:bidi w:val="0"/>
        <w:spacing w:lineRule="auto" w:line="302" w:before="0" w:after="0"/>
        <w:ind w:left="0" w:right="0" w:hanging="0"/>
        <w:jc w:val="left"/>
        <w:rPr/>
      </w:pPr>
      <w:r>
        <w:rPr/>
        <w:t>​</w:t>
      </w:r>
    </w:p>
    <w:p>
      <w:pPr>
        <w:pStyle w:val="TextBody"/>
        <w:bidi w:val="0"/>
        <w:spacing w:lineRule="auto" w:line="302" w:before="0" w:after="0"/>
        <w:ind w:left="0" w:right="0" w:firstLine="492"/>
        <w:jc w:val="left"/>
        <w:rPr>
          <w:rFonts w:ascii="Times New Roman;Times;serif" w:hAnsi="Times New Roman;Times;serif"/>
          <w:sz w:val="20"/>
        </w:rPr>
      </w:pPr>
      <w:r>
        <w:rPr>
          <w:rFonts w:ascii="Times New Roman;Times;serif" w:hAnsi="Times New Roman;Times;serif"/>
          <w:sz w:val="20"/>
        </w:rPr>
        <w:t>Our development pipeline consists of TIL cell therapies in additional solid tumor cancer indications as monotherapy or in combination with standard of care, as well as next generation approaches. We are conducting two ongoing registrational trials in frontline advanced melanoma and previously treated advanced non-small cell lung cancer, or NSCLC. We have commenced a registrational trial in previously treated advanced undifferentiated pleomorphic sarcoma and dedifferentiated liposarcoma, and plan to engage with the FDA for an expedited path to accelerated approval.</w:t>
      </w:r>
    </w:p>
    <w:p>
      <w:pPr>
        <w:pStyle w:val="TextBody"/>
        <w:bidi w:val="0"/>
        <w:spacing w:lineRule="auto" w:line="302" w:before="0" w:after="0"/>
        <w:ind w:left="0" w:right="0" w:firstLine="492"/>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Strategy</w:t>
      </w:r>
    </w:p>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A global leader in innovating, developing, and delivering TIL cell therapy</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Our mission is to be the global leader in innovating, developing, and delivering TIL cell therapy. Our vision is to pioneer this transformational approach to cure solid tumor cancers. We are committed to continuous innovation to develop TIL cell therapies and optimize TIL treatment regimens that may extend and improve life for patients with cancer.</w:t>
      </w:r>
    </w:p>
    <w:p>
      <w:pPr>
        <w:pStyle w:val="TextBody"/>
        <w:bidi w:val="0"/>
        <w:spacing w:lineRule="auto" w:line="240" w:before="0" w:after="240"/>
        <w:ind w:left="0" w:right="0" w:firstLine="540"/>
        <w:jc w:val="left"/>
        <w:rPr>
          <w:rFonts w:ascii="Times New Roman;Times;serif" w:hAnsi="Times New Roman;Times;serif"/>
          <w:sz w:val="20"/>
        </w:rPr>
      </w:pPr>
      <w:r>
        <w:rPr>
          <w:rFonts w:ascii="Times New Roman;Times;serif" w:hAnsi="Times New Roman;Times;serif"/>
          <w:sz w:val="20"/>
        </w:rPr>
        <w:t>Our top priority is to drive commercial success of Amtagvi</w:t>
      </w:r>
      <w:r>
        <w:rPr>
          <w:rFonts w:ascii="Times New Roman;Times;serif" w:hAnsi="Times New Roman;Times;serif"/>
          <w:sz w:val="15"/>
        </w:rPr>
        <w:t>®</w:t>
      </w:r>
      <w:r>
        <w:rPr>
          <w:rFonts w:ascii="Times New Roman;Times;serif" w:hAnsi="Times New Roman;Times;serif"/>
          <w:sz w:val="20"/>
        </w:rPr>
        <w:t xml:space="preserve"> for previously treated advanced melanoma across four primary areas: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Educating, training, and collaborating with healthcare professionals, or HCPs, who will be administering our product at academic and community authorized treatment centers, or ATCs, as well as community oncologists and advocacy groups who will refer patients to our ATCs;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operational and patient support at ATCs in the U.S. and onboarding ATCs in preparation for anticipated regulatory approvals and product launches in additional global markets;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Collaborating with payors about the value of Amtagvi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to continue to facilitate strong reimbursement and patient access; and</w:t>
            </w:r>
          </w:p>
        </w:tc>
        <w:tc>
          <w:tcPr>
            <w:tcW w:w="154" w:type="dxa"/>
            <w:tcBorders/>
            <w:vAlign w:val="center"/>
          </w:tcPr>
          <w:p>
            <w:pPr>
              <w:pStyle w:val="TableContents"/>
              <w:bidi w:val="0"/>
              <w:spacing w:before="0" w:after="283"/>
              <w:jc w:val="left"/>
              <w:rPr>
                <w:sz w:val="4"/>
                <w:szCs w:val="4"/>
              </w:rPr>
            </w:pPr>
            <w:r>
              <w:rPr>
                <w:sz w:val="4"/>
                <w:szCs w:val="4"/>
              </w:rPr>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Driving operational excellence in launch execution, commercial manufacturing success, and delivery of therapy.</w:t>
            </w:r>
          </w:p>
        </w:tc>
      </w:tr>
    </w:tbl>
    <w:p>
      <w:pPr>
        <w:pStyle w:val="TextBody"/>
        <w:bidi w:val="0"/>
        <w:spacing w:before="0" w:after="0"/>
        <w:ind w:left="0" w:right="0" w:hanging="0"/>
        <w:jc w:val="left"/>
        <w:rPr/>
      </w:pPr>
      <w:r>
        <w:rPr/>
        <w:t>​</w:t>
      </w:r>
    </w:p>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U.S. Commercial Launch of the First TIL Cell Therapy in Advanced Melanoma</w:t>
      </w:r>
    </w:p>
    <w:p>
      <w:pPr>
        <w:pStyle w:val="TextBody"/>
        <w:bidi w:val="0"/>
        <w:spacing w:lineRule="auto" w:line="240" w:before="0" w:after="240"/>
        <w:ind w:left="0" w:right="0" w:firstLine="547"/>
        <w:jc w:val="left"/>
        <w:rPr>
          <w:rFonts w:ascii="Times New Roman;Times;serif" w:hAnsi="Times New Roman;Times;serif"/>
          <w:sz w:val="20"/>
        </w:rPr>
      </w:pPr>
      <w:r>
        <w:rPr>
          <w:rFonts w:ascii="Times New Roman;Times;serif" w:hAnsi="Times New Roman;Times;serif"/>
          <w:b/>
          <w:sz w:val="20"/>
        </w:rPr>
        <w:t>Amtagvi</w:t>
      </w:r>
      <w:r>
        <w:rPr>
          <w:rFonts w:ascii="Times New Roman;Times;serif" w:hAnsi="Times New Roman;Times;serif"/>
          <w:b/>
          <w:sz w:val="15"/>
        </w:rPr>
        <w:t>®</w:t>
      </w:r>
    </w:p>
    <w:p>
      <w:pPr>
        <w:pStyle w:val="TextBody"/>
        <w:bidi w:val="0"/>
        <w:spacing w:lineRule="auto" w:line="240" w:before="0" w:after="240"/>
        <w:ind w:left="0" w:right="0" w:firstLine="54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(lifileucel) is the first one-time, individualized T cell therapy approved for a solid tumor cancer and for the treatment of adult patients with previously treated advanced melanoma. Amtagvi</w:t>
      </w:r>
      <w:r>
        <w:rPr>
          <w:rFonts w:ascii="Times New Roman;Times;serif" w:hAnsi="Times New Roman;Times;serif"/>
          <w:sz w:val="15"/>
        </w:rPr>
        <w:t>®</w:t>
      </w:r>
      <w:r>
        <w:rPr>
          <w:rFonts w:ascii="Times New Roman;Times;serif" w:hAnsi="Times New Roman;Times;serif"/>
          <w:sz w:val="20"/>
        </w:rPr>
        <w:t xml:space="preserve"> returns billions of individualized patient T cells back to the body to fight cancer and is administered as part of a treatment regimen. </w:t>
      </w:r>
    </w:p>
    <w:p>
      <w:pPr>
        <w:pStyle w:val="TextBody"/>
        <w:bidi w:val="0"/>
        <w:spacing w:lineRule="auto" w:line="240" w:before="0" w:after="240"/>
        <w:ind w:left="0" w:right="0" w:firstLine="54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 xml:space="preserve">® </w:t>
      </w:r>
      <w:r>
        <w:rPr>
          <w:rFonts w:ascii="Times New Roman;Times;serif" w:hAnsi="Times New Roman;Times;serif"/>
          <w:sz w:val="20"/>
        </w:rPr>
        <w:t>is indicated for the treatment of adult patients with advanced melanoma previously treated with a PD-1 blocking antibody, and if BRAF V600 mutation positive, a BRAF inhibitor with or without a MEK inhibitor. The U.S. accelerated approval of Amtagvi</w:t>
      </w:r>
      <w:r>
        <w:rPr>
          <w:rFonts w:ascii="Times New Roman;Times;serif" w:hAnsi="Times New Roman;Times;serif"/>
          <w:sz w:val="15"/>
        </w:rPr>
        <w:t xml:space="preserve">® </w:t>
      </w:r>
      <w:r>
        <w:rPr>
          <w:rFonts w:ascii="Times New Roman;Times;serif" w:hAnsi="Times New Roman;Times;serif"/>
          <w:sz w:val="20"/>
        </w:rPr>
        <w:t>is based on safety and efficacy results from the C-144-01 global, multicenter clinical trial. A global, randomized Phase 3 confirmatory trial, TILVANCE-301, is investigating Amtagvi</w:t>
      </w:r>
      <w:r>
        <w:rPr>
          <w:rFonts w:ascii="Times New Roman;Times;serif" w:hAnsi="Times New Roman;Times;serif"/>
          <w:sz w:val="15"/>
        </w:rPr>
        <w:t xml:space="preserve">® </w:t>
      </w:r>
      <w:r>
        <w:rPr>
          <w:rFonts w:ascii="Times New Roman;Times;serif" w:hAnsi="Times New Roman;Times;serif"/>
          <w:sz w:val="20"/>
        </w:rPr>
        <w:t xml:space="preserve">in combination with pembrolizumab in frontline advanced melanoma. </w:t>
      </w:r>
    </w:p>
    <w:p>
      <w:pPr>
        <w:pStyle w:val="TextBody"/>
        <w:bidi w:val="0"/>
        <w:spacing w:lineRule="auto" w:line="240" w:before="0" w:after="240"/>
        <w:ind w:left="0" w:right="0" w:firstLine="54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has multiple growth drivers, including: </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Awareness of clinical and real-world evidence data</w:t>
            </w:r>
            <w:r>
              <w:rPr>
                <w:caps w:val="false"/>
                <w:smallCaps w:val="false"/>
              </w:rPr>
              <w:t> </w:t>
            </w:r>
            <w:r>
              <w:rPr>
                <w:rFonts w:ascii="Times New Roman;Times;serif" w:hAnsi="Times New Roman;Times;serif"/>
                <w:b w:val="false"/>
                <w:i w:val="false"/>
                <w:caps w:val="false"/>
                <w:smallCaps w:val="false"/>
                <w:sz w:val="20"/>
              </w:rPr>
              <w:t>to drive adoption as well as earlier and higher volume of patient referrals for better outcomes across our ATC network.</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Higher penetration at academic ATCs through earlier tissue procurement for patients at high risk of disease progression, such as BRAF mutant patients, so they can be treated before their health status declines. </w:t>
            </w:r>
          </w:p>
        </w:tc>
        <w:tc>
          <w:tcPr>
            <w:tcW w:w="154" w:type="dxa"/>
            <w:tcBorders/>
            <w:vAlign w:val="center"/>
          </w:tcPr>
          <w:p>
            <w:pPr>
              <w:pStyle w:val="TableContents"/>
              <w:bidi w:val="0"/>
              <w:spacing w:before="0" w:after="283"/>
              <w:jc w:val="left"/>
              <w:rPr>
                <w:sz w:val="4"/>
                <w:szCs w:val="4"/>
              </w:rPr>
            </w:pPr>
            <w:r>
              <w:rPr>
                <w:sz w:val="4"/>
                <w:szCs w:val="4"/>
              </w:rPr>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ATC network with new academic and community ATCs.</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approvals in new global markets.</w:t>
            </w:r>
          </w:p>
        </w:tc>
      </w:tr>
    </w:tbl>
    <w:p>
      <w:pPr>
        <w:pStyle w:val="TextBody"/>
        <w:bidi w:val="0"/>
        <w:spacing w:before="0" w:after="0"/>
        <w:ind w:left="0" w:right="0" w:firstLine="547"/>
        <w:jc w:val="both"/>
        <w:rPr/>
      </w:pPr>
      <w:r>
        <w:rPr/>
        <w: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b/>
          <w:sz w:val="20"/>
        </w:rPr>
        <w:t>Proleukin</w:t>
      </w:r>
      <w:r>
        <w:rPr>
          <w:rFonts w:ascii="Times New Roman;Times;serif" w:hAnsi="Times New Roman;Times;serif"/>
          <w:sz w:val="15"/>
        </w:rPr>
        <w:t>®</w:t>
      </w:r>
    </w:p>
    <w:p>
      <w:pPr>
        <w:pStyle w:val="TextBody"/>
        <w:bidi w:val="0"/>
        <w:spacing w:lineRule="auto" w:line="240" w:before="200" w:after="0"/>
        <w:ind w:left="0" w:right="0" w:firstLine="547"/>
        <w:jc w:val="left"/>
        <w:rPr>
          <w:rFonts w:ascii="Times New Roman;Times;serif" w:hAnsi="Times New Roman;Times;serif"/>
          <w:sz w:val="20"/>
        </w:rPr>
      </w:pPr>
      <w:r>
        <w:rPr>
          <w:rFonts w:ascii="Times New Roman;Times;serif" w:hAnsi="Times New Roman;Times;serif"/>
          <w:sz w:val="20"/>
        </w:rPr>
        <w:t>We sell Proleukin</w:t>
      </w:r>
      <w:r>
        <w:rPr>
          <w:rFonts w:ascii="Times New Roman;Times;serif" w:hAnsi="Times New Roman;Times;serif"/>
          <w:sz w:val="15"/>
        </w:rPr>
        <w:t>®</w:t>
      </w:r>
      <w:r>
        <w:rPr>
          <w:rFonts w:ascii="Times New Roman;Times;serif" w:hAnsi="Times New Roman;Times;serif"/>
          <w:sz w:val="20"/>
        </w:rPr>
        <w:t xml:space="preserve"> (aldesleukin), an interleukin-2, or IL-2, product to three main distributors in the U.S., distributors outside the U.S., and numerous third-party clients across the three revenue channels: 1) use in the Amtagvi</w:t>
      </w:r>
      <w:r>
        <w:rPr>
          <w:rFonts w:ascii="Times New Roman;Times;serif" w:hAnsi="Times New Roman;Times;serif"/>
          <w:sz w:val="15"/>
        </w:rPr>
        <w:t>®</w:t>
      </w:r>
      <w:r>
        <w:rPr>
          <w:rFonts w:ascii="Times New Roman;Times;serif" w:hAnsi="Times New Roman;Times;serif"/>
          <w:sz w:val="20"/>
        </w:rPr>
        <w:t xml:space="preserve"> treatment regimen, or other approved oncology uses, or the primary channel, 2) use in the manufacturing process for Amtagvi</w:t>
      </w:r>
      <w:r>
        <w:rPr>
          <w:rFonts w:ascii="Times New Roman;Times;serif" w:hAnsi="Times New Roman;Times;serif"/>
          <w:sz w:val="15"/>
        </w:rPr>
        <w:t>®</w:t>
      </w:r>
      <w:r>
        <w:rPr>
          <w:rFonts w:ascii="Times New Roman;Times;serif" w:hAnsi="Times New Roman;Times;serif"/>
          <w:sz w:val="20"/>
        </w:rPr>
        <w:t xml:space="preserve"> and other cell therapies and 3) use in clinical and research settings. Proleukin</w:t>
      </w:r>
      <w:r>
        <w:rPr>
          <w:rFonts w:ascii="Times New Roman;Times;serif" w:hAnsi="Times New Roman;Times;serif"/>
          <w:sz w:val="15"/>
        </w:rPr>
        <w:t>®</w:t>
      </w:r>
      <w:r>
        <w:rPr>
          <w:rFonts w:ascii="Times New Roman;Times;serif" w:hAnsi="Times New Roman;Times;serif"/>
          <w:sz w:val="20"/>
        </w:rPr>
        <w:t xml:space="preserve"> is approved in the U.S., and licensed in multiple international markets, for treatment of adults with metastatic renal cell carcinoma and/or metastatic melanoma.</w:t>
      </w:r>
    </w:p>
    <w:p>
      <w:pPr>
        <w:pStyle w:val="TextBody"/>
        <w:bidi w:val="0"/>
        <w:spacing w:lineRule="auto" w:line="240" w:before="200" w:after="0"/>
        <w:ind w:left="0" w:right="0" w:firstLine="547"/>
        <w:jc w:val="left"/>
        <w:rPr>
          <w:rFonts w:ascii="Times New Roman;Times;serif" w:hAnsi="Times New Roman;Times;serif"/>
          <w:sz w:val="20"/>
        </w:rPr>
      </w:pPr>
      <w:r>
        <w:rPr>
          <w:rFonts w:ascii="Times New Roman;Times;serif" w:hAnsi="Times New Roman;Times;serif"/>
          <w:sz w:val="20"/>
        </w:rPr>
        <w:t>In May 2023, we acquired the worldwide rights to Proleukin</w:t>
      </w:r>
      <w:r>
        <w:rPr>
          <w:rFonts w:ascii="Times New Roman;Times;serif" w:hAnsi="Times New Roman;Times;serif"/>
          <w:sz w:val="15"/>
        </w:rPr>
        <w:t xml:space="preserve">® </w:t>
      </w:r>
      <w:r>
        <w:rPr>
          <w:rFonts w:ascii="Times New Roman;Times;serif" w:hAnsi="Times New Roman;Times;serif"/>
          <w:sz w:val="20"/>
        </w:rPr>
        <w:t xml:space="preserve">from Clinigen Holdings Limited, Clinigen Healthcare Limited, and Clinigen, Inc., which we refer to collectively as Clinigen. </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b/>
          <w:i/>
          <w:sz w:val="20"/>
        </w:rPr>
      </w:pPr>
      <w:bookmarkStart w:id="1768" w:name="_Hlk157532145"/>
      <w:bookmarkEnd w:id="1768"/>
      <w:r>
        <w:rPr>
          <w:rFonts w:ascii="Times New Roman;Times;serif" w:hAnsi="Times New Roman;Times;serif"/>
          <w:b/>
          <w:i/>
          <w:sz w:val="20"/>
        </w:rPr>
        <w:t>Scalable TIL manufacturing for commercial and clinical demand</w:t>
      </w:r>
    </w:p>
    <w:p>
      <w:pPr>
        <w:pStyle w:val="TextBody"/>
        <w:bidi w:val="0"/>
        <w:spacing w:before="0" w:after="0"/>
        <w:ind w:left="0" w:right="0" w:firstLine="547"/>
        <w:jc w:val="left"/>
        <w:rPr/>
      </w:pPr>
      <w:r>
        <w:rPr/>
        <w:t>​</w:t>
      </w:r>
    </w:p>
    <w:p>
      <w:pPr>
        <w:pStyle w:val="TextBody"/>
        <w:bidi w:val="0"/>
        <w:spacing w:lineRule="auto" w:line="300" w:before="0" w:after="0"/>
        <w:ind w:left="0" w:right="20" w:firstLine="492"/>
        <w:jc w:val="left"/>
        <w:rPr>
          <w:rFonts w:ascii="Times New Roman;Times;serif" w:hAnsi="Times New Roman;Times;serif"/>
          <w:sz w:val="20"/>
        </w:rPr>
      </w:pPr>
      <w:r>
        <w:rPr>
          <w:rFonts w:ascii="Times New Roman;Times;serif" w:hAnsi="Times New Roman;Times;serif"/>
          <w:sz w:val="20"/>
        </w:rPr>
        <w:t xml:space="preserve">To date, more than 1,500 patients have been treated with commercial and investigational TIL cell therapies manufactured using Iovance processes. The Iovance Cell Therapy Center, or </w:t>
      </w:r>
      <w:r>
        <w:rPr>
          <w:rFonts w:ascii="Times New Roman;Times;serif" w:hAnsi="Times New Roman;Times;serif"/>
          <w:i/>
          <w:sz w:val="20"/>
        </w:rPr>
        <w:t>i</w:t>
      </w:r>
      <w:r>
        <w:rPr>
          <w:rFonts w:ascii="Times New Roman;Times;serif" w:hAnsi="Times New Roman;Times;serif"/>
          <w:sz w:val="20"/>
        </w:rPr>
        <w:t xml:space="preserve">CTC, in Philadelphia, Pennsylvania is the first FDA-approved facility to manufacture commercial TIL cell therapy. We believe that the </w:t>
      </w:r>
      <w:r>
        <w:rPr>
          <w:rFonts w:ascii="Times New Roman;Times;serif" w:hAnsi="Times New Roman;Times;serif"/>
          <w:i/>
          <w:sz w:val="20"/>
        </w:rPr>
        <w:t>i</w:t>
      </w:r>
      <w:r>
        <w:rPr>
          <w:rFonts w:ascii="Times New Roman;Times;serif" w:hAnsi="Times New Roman;Times;serif"/>
          <w:sz w:val="20"/>
        </w:rPr>
        <w:t xml:space="preserve">CTC is the only current Good Manufacturing Practice, or cGMP, facility with a centralized, scalable TIL manufacturing process. Facilitated by its proximity to multiple airports, the </w:t>
      </w:r>
      <w:r>
        <w:rPr>
          <w:rFonts w:ascii="Times New Roman;Times;serif" w:hAnsi="Times New Roman;Times;serif"/>
          <w:i/>
          <w:sz w:val="20"/>
        </w:rPr>
        <w:t>i</w:t>
      </w:r>
      <w:r>
        <w:rPr>
          <w:rFonts w:ascii="Times New Roman;Times;serif" w:hAnsi="Times New Roman;Times;serif"/>
          <w:sz w:val="20"/>
        </w:rPr>
        <w:t>CTC covers logistics and delivery of TIL cell therapies to treatment centers in North America, Europe, and Asia Pacific.</w:t>
      </w:r>
    </w:p>
    <w:p>
      <w:pPr>
        <w:pStyle w:val="TextBody"/>
        <w:bidi w:val="0"/>
        <w:spacing w:before="200" w:after="0"/>
        <w:ind w:left="0" w:right="0" w:firstLine="547"/>
        <w:jc w:val="left"/>
        <w:rPr>
          <w:rFonts w:ascii="Times New Roman;Times;serif" w:hAnsi="Times New Roman;Times;serif"/>
          <w:sz w:val="20"/>
        </w:rPr>
      </w:pPr>
      <w:r>
        <w:rPr>
          <w:rFonts w:ascii="Times New Roman;Times;serif" w:hAnsi="Times New Roman;Times;serif"/>
          <w:sz w:val="20"/>
        </w:rPr>
        <w:t xml:space="preserve">The current </w:t>
      </w:r>
      <w:r>
        <w:rPr>
          <w:rFonts w:ascii="Times New Roman;Times;serif" w:hAnsi="Times New Roman;Times;serif"/>
          <w:i/>
          <w:sz w:val="20"/>
        </w:rPr>
        <w:t>i</w:t>
      </w:r>
      <w:r>
        <w:rPr>
          <w:rFonts w:ascii="Times New Roman;Times;serif" w:hAnsi="Times New Roman;Times;serif"/>
          <w:sz w:val="20"/>
        </w:rPr>
        <w:t>CTC facility has the potential capacity to supply TIL cell therapies for more than 5,000 cancer patients annually. To utilize our internal manufacturing suites at greater scale, improve gross margin and reduce operating expenses, we transitioned</w:t>
      </w:r>
      <w:r>
        <w:rPr>
          <w:rFonts w:ascii="Times New Roman;Times;serif" w:hAnsi="Times New Roman;Times;serif"/>
          <w:color w:val="EE0000"/>
          <w:sz w:val="20"/>
        </w:rPr>
        <w:t xml:space="preserve"> </w:t>
      </w:r>
      <w:r>
        <w:rPr>
          <w:rFonts w:ascii="Times New Roman;Times;serif" w:hAnsi="Times New Roman;Times;serif"/>
          <w:sz w:val="20"/>
        </w:rPr>
        <w:t xml:space="preserve">all manufacturing for clinical and commercial Iovance TIL cell therapies to the </w:t>
      </w:r>
      <w:r>
        <w:rPr>
          <w:rFonts w:ascii="Times New Roman;Times;serif" w:hAnsi="Times New Roman;Times;serif"/>
          <w:i/>
          <w:sz w:val="20"/>
        </w:rPr>
        <w:t>i</w:t>
      </w:r>
      <w:r>
        <w:rPr>
          <w:rFonts w:ascii="Times New Roman;Times;serif" w:hAnsi="Times New Roman;Times;serif"/>
          <w:sz w:val="20"/>
        </w:rPr>
        <w:t xml:space="preserve">CTC and terminated an agreement with a contract manufacturer in the first quarter of 2026 to manage and reduce long-term product manufacturing costs. We have full control of manufacturing capacity and product quality, supply and delivery logistics, cost efficiencies and process improvements, such as automation and next generation approaches that may further streamline timelines and costs. Certain clinical trials for our next-generation investigational TIL cell therapies will continue to be supported by contract manufacturing organizations, or CMOs. Details of related agreements are provided in Note 11 Licenses and Agreements section of this Quarterly Report on Form 10-Q of our condensed consolidated financial statements for the quarter ended June 30, 2026. </w:t>
      </w:r>
    </w:p>
    <w:p>
      <w:pPr>
        <w:pStyle w:val="TextBody"/>
        <w:bidi w:val="0"/>
        <w:spacing w:before="0" w:after="0"/>
        <w:ind w:left="547"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b/>
          <w:i/>
          <w:sz w:val="20"/>
        </w:rPr>
        <w:t>TIL</w:t>
      </w:r>
      <w:r>
        <w:rPr>
          <w:rFonts w:ascii="Times New Roman;Times;serif" w:hAnsi="Times New Roman;Times;serif"/>
          <w:sz w:val="20"/>
        </w:rPr>
        <w:t xml:space="preserve"> </w:t>
      </w:r>
      <w:r>
        <w:rPr>
          <w:rFonts w:ascii="Times New Roman;Times;serif" w:hAnsi="Times New Roman;Times;serif"/>
          <w:b/>
          <w:i/>
          <w:sz w:val="20"/>
        </w:rPr>
        <w:t>Cell</w:t>
      </w:r>
      <w:r>
        <w:rPr>
          <w:rFonts w:ascii="Times New Roman;Times;serif" w:hAnsi="Times New Roman;Times;serif"/>
          <w:sz w:val="20"/>
        </w:rPr>
        <w:t xml:space="preserve"> </w:t>
      </w:r>
      <w:r>
        <w:rPr>
          <w:rFonts w:ascii="Times New Roman;Times;serif" w:hAnsi="Times New Roman;Times;serif"/>
          <w:b/>
          <w:i/>
          <w:sz w:val="20"/>
        </w:rPr>
        <w:t>Therapy Platforms for Advanced, or Metastatic or Unresectable, Solid Tumor Cancers</w:t>
      </w:r>
    </w:p>
    <w:p>
      <w:pPr>
        <w:pStyle w:val="TextBody"/>
        <w:bidi w:val="0"/>
        <w:spacing w:before="0" w:after="0"/>
        <w:ind w:left="547"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T cell-based immunotherapy technology platform of TIL cell therapies leverages patient-specific cells to recognize and attack diverse cancer cells that are unique to each patient. We believe this approach is the emerging backbone for immuno-oncology approaches to treat solid tumor cancers.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investigated TIL cell therapy in global, multicenter Iovance-sponsored clinical trials in various treatment settings for patients with advanced melanoma, NSCLC, cervical cancer, endometrial cancer, and head and neck squamous cell carcinoma, or HNSCC. Through ongoing academic collaborations, as well as government and other partners, we are investigating additional solid tumor types and treatment settings. We have provided prior or ongoing support for investigator-sponsored clinical trials for patients with soft tissue sarcoma, osteosarcoma, pancreatic and colorectal cancer, platinum resistant ovarian cancer, anaplastic thyroid cancer, and triple negative breast cancer.</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Applying our expertise in TIL cell therapy, our next-generation technology platforms are designed to optimize outcomes with TIL cell therapy across three key initiatives: genetic modifications, potency, and new treatment regimens using an improved IL-2.</w:t>
      </w:r>
    </w:p>
    <w:p>
      <w:pPr>
        <w:pStyle w:val="TextBody"/>
        <w:bidi w:val="0"/>
        <w:spacing w:before="0" w:after="240"/>
        <w:ind w:left="0" w:right="0" w:firstLine="547"/>
        <w:jc w:val="left"/>
        <w:rPr>
          <w:rFonts w:ascii="Times New Roman;Times;serif" w:hAnsi="Times New Roman;Times;serif"/>
          <w:b/>
          <w:i/>
          <w:sz w:val="20"/>
        </w:rPr>
      </w:pPr>
      <w:r>
        <w:rPr>
          <w:rFonts w:ascii="Times New Roman;Times;serif" w:hAnsi="Times New Roman;Times;serif"/>
          <w:b/>
          <w:i/>
          <w:sz w:val="20"/>
        </w:rPr>
        <w:t>Intellectual Property</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have established a leading intellectual property portfolio developed internally and licensed from third parties. We currently own more than 100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11,141,434; 11,141,438; 11,168,303; 11,168,304; 11,179,419; 11,202,803; 11,202,804; 11,220,670; 11,241,456; 11,254,913; 11,266,694; 11,273,180; 11,273,181; 11,291,687; 11,293,009; 11,304,979; 11,304,980; 11,311,578; 11,337,998; 11,344,579; 11,344,580; 11,344,581; 11,351,197; 11,351,198; 11,351,199; 11,364,266; 11,369,637; 11,384,337; 11,401,507; 11,433,097; 11,517,592; 11,529,372; 11,541,077; 11,631,483; 11,713,446; 11,819,517; 11,857,573; 11,865,140; 11,866,688; 11,939,596; 11,969,444; 11,975,028; 11,981,921; 11,998,568; 12,023,355; 12,024,718; 12,031,157; 12,104,172; 12,121,541; 12,159,700; 12,170,134; 12,188,048; 12,194,061; 12,226,434; 12,226,522; 12,230,378; 12,230,379; 12,233,075; 12,280,140; 12,343,380; 12,453,697; 12,473,532; 12,485,145; 12,495,791; 12,553,029; 12,553,031; 12,558,375; 12,570,959; 12,570,961; 12,611,427; 12,611,428; 12,611,429; 12,617,833; 12,622,927; 12,636,318; 12,642,268; 12,642,816; 12,642,832; 12,648,962; 12,655,389; and 12,678,499. More than 50 of these patents are related to our Gen 2 TIL manufacturing processes and have terms that we anticipate will extend to October 2037 or January 2038, not including any patent term extensions or adjustments that may be available. Our owned and licensed intellectual property portfolio also includes patents and patent applications relating to TIL, marrow-infiltrating lymphocytes, or MIL, and peripheral blood lymphocyte, or PBL, therapies; TIL cell expansion from core biopsy, small biopsy or fine needle aspirate; assays for evaluating potency and/or functionality of TIL products; frozen tumor-based TIL technologies; remnant TIL and digest TIL compositions, methods, and processes; methods of manufacturing TIL, MIL, and PBL therapies; the use of costimulatory and T cell modulating molecules in TIL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cell therapy and manufacturing; stable and transient genetically-modified TIL cell therapies, including genetic knockouts of immune checkpoints; cytokine-tethered TIL cell therapies; methods of using immune checkpoint inhibitor, or ICIs, in combination with TIL cell therapies; TIL selection technologies; and methods of treating patient subpopulations.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0"/>
        <w:ind w:left="0" w:right="0" w:hanging="0"/>
        <w:jc w:val="left"/>
        <w:rPr/>
      </w:pPr>
      <w:r>
        <w:rPr/>
        <w:t>​</w:t>
      </w:r>
    </w:p>
    <w:p>
      <w:pPr>
        <w:pStyle w:val="TextBody"/>
        <w:bidi w:val="0"/>
        <w:spacing w:before="0" w:after="0"/>
        <w:ind w:left="547" w:right="0" w:hanging="0"/>
        <w:jc w:val="left"/>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0"/>
        <w:ind w:left="0" w:right="0" w:firstLine="547"/>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Revenues for the three and six months ended June 30, 2026 represents product sales of Amtagvi</w:t>
      </w:r>
      <w:r>
        <w:rPr>
          <w:rFonts w:ascii="Times New Roman;Times;serif" w:hAnsi="Times New Roman;Times;serif"/>
          <w:sz w:val="15"/>
        </w:rPr>
        <w:t>®</w:t>
      </w:r>
      <w:r>
        <w:rPr>
          <w:rFonts w:ascii="Times New Roman;Times;serif" w:hAnsi="Times New Roman;Times;serif"/>
          <w:sz w:val="20"/>
        </w:rPr>
        <w:t>, as well as Proleukin</w:t>
      </w:r>
      <w:r>
        <w:rPr>
          <w:rFonts w:ascii="Times New Roman;Times;serif" w:hAnsi="Times New Roman;Times;serif"/>
          <w:sz w:val="15"/>
        </w:rPr>
        <w:t>®</w:t>
      </w:r>
      <w:r>
        <w:rPr>
          <w:rFonts w:ascii="Times New Roman;Times;serif" w:hAnsi="Times New Roman;Times;serif"/>
          <w:sz w:val="20"/>
        </w:rPr>
        <w:t>, primarily driven from sales in the U.S. to support the ongoing commercial launch of Amtagvi</w:t>
      </w:r>
      <w:r>
        <w:rPr>
          <w:rFonts w:ascii="Times New Roman;Times;serif" w:hAnsi="Times New Roman;Times;serif"/>
          <w:sz w:val="15"/>
        </w:rPr>
        <w:t>®</w:t>
      </w:r>
      <w:r>
        <w:rPr>
          <w:rFonts w:ascii="Times New Roman;Times;serif" w:hAnsi="Times New Roman;Times;serif"/>
          <w:sz w:val="20"/>
        </w:rPr>
        <w:t>, which received FDA approval in February 2024. Proleukin</w:t>
      </w:r>
      <w:r>
        <w:rPr>
          <w:rFonts w:ascii="Times New Roman;Times;serif" w:hAnsi="Times New Roman;Times;serif"/>
          <w:sz w:val="15"/>
        </w:rPr>
        <w:t>®</w:t>
      </w:r>
      <w:r>
        <w:rPr>
          <w:rFonts w:ascii="Times New Roman;Times;serif" w:hAnsi="Times New Roman;Times;serif"/>
          <w:sz w:val="20"/>
        </w:rPr>
        <w:t xml:space="preserve">, which we acquired the worldwide rights to in May 2023, is also sold in markets outside the U.S., primarily in the EU and UK. </w:t>
      </w:r>
    </w:p>
    <w:p>
      <w:pPr>
        <w:pStyle w:val="TextBody"/>
        <w:bidi w:val="0"/>
        <w:spacing w:before="0" w:after="0"/>
        <w:ind w:left="0" w:right="0" w:firstLine="547"/>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revenue is recognized upon patient infusion, while Proleukin</w:t>
      </w:r>
      <w:r>
        <w:rPr>
          <w:rFonts w:ascii="Times New Roman;Times;serif" w:hAnsi="Times New Roman;Times;serif"/>
          <w:sz w:val="15"/>
        </w:rPr>
        <w:t>®</w:t>
      </w:r>
      <w:r>
        <w:rPr>
          <w:rFonts w:ascii="Times New Roman;Times;serif" w:hAnsi="Times New Roman;Times;serif"/>
          <w:sz w:val="20"/>
        </w:rPr>
        <w:t xml:space="preserve"> revenue is recognized upon shipment or delivery to customers, which include specialty distributors, clinical manufacturers, research organizations, and ATCs. 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w:t>
      </w:r>
    </w:p>
    <w:p>
      <w:pPr>
        <w:pStyle w:val="TextBody"/>
        <w:bidi w:val="0"/>
        <w:spacing w:before="0" w:after="0"/>
        <w:ind w:left="0" w:right="0" w:firstLine="547"/>
        <w:jc w:val="both"/>
        <w:rPr/>
      </w:pPr>
      <w:r>
        <w:rPr/>
        <w:t>​</w:t>
      </w:r>
    </w:p>
    <w:p>
      <w:pPr>
        <w:pStyle w:val="TextBody"/>
        <w:bidi w:val="0"/>
        <w:spacing w:before="0" w:after="0"/>
        <w:ind w:left="0" w:right="0" w:firstLine="547"/>
        <w:jc w:val="left"/>
        <w:rPr>
          <w:rFonts w:ascii="Times New Roman;Times;serif" w:hAnsi="Times New Roman;Times;serif"/>
          <w:b/>
          <w:sz w:val="20"/>
        </w:rPr>
      </w:pPr>
      <w:r>
        <w:rPr>
          <w:rFonts w:ascii="Times New Roman;Times;serif" w:hAnsi="Times New Roman;Times;serif"/>
          <w:b/>
          <w:sz w:val="20"/>
        </w:rPr>
        <w:t>Costs and Expenses</w:t>
      </w:r>
    </w:p>
    <w:p>
      <w:pPr>
        <w:pStyle w:val="TextBody"/>
        <w:bidi w:val="0"/>
        <w:spacing w:before="0" w:after="0"/>
        <w:ind w:left="0" w:right="0" w:hanging="0"/>
        <w:jc w:val="left"/>
        <w:rPr/>
      </w:pPr>
      <w:r>
        <w:rPr/>
        <w:t>​</w:t>
      </w:r>
    </w:p>
    <w:p>
      <w:pPr>
        <w:pStyle w:val="TextBody"/>
        <w:bidi w:val="0"/>
        <w:spacing w:before="0" w:after="0"/>
        <w:ind w:left="547" w:right="0" w:hanging="0"/>
        <w:jc w:val="left"/>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0"/>
        <w:ind w:left="0" w:right="0" w:hanging="0"/>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Cost of sales includes cost of inventories sold, including overhead and manufacturing costs of Amtagvi</w:t>
      </w:r>
      <w:r>
        <w:rPr>
          <w:rFonts w:ascii="Times New Roman;Times;serif" w:hAnsi="Times New Roman;Times;serif"/>
          <w:sz w:val="15"/>
        </w:rPr>
        <w:t>®</w:t>
      </w:r>
      <w:r>
        <w:rPr>
          <w:rFonts w:ascii="Times New Roman;Times;serif" w:hAnsi="Times New Roman;Times;serif"/>
          <w:sz w:val="20"/>
        </w:rPr>
        <w:t>, reserves for excess and obsolete inventory, royalties payable on the sales of our products and other costs that are directly associated with the purchase and sales of Proleukin</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firstLine="547"/>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In the event that the manufactured product does not meet specifications, or a patient is unable to receive the infusion, the Amtagvi</w:t>
      </w:r>
      <w:r>
        <w:rPr>
          <w:rFonts w:ascii="Times New Roman;Times;serif" w:hAnsi="Times New Roman;Times;serif"/>
          <w:sz w:val="15"/>
        </w:rPr>
        <w:t>®</w:t>
      </w:r>
      <w:r>
        <w:rPr>
          <w:rFonts w:ascii="Times New Roman;Times;serif" w:hAnsi="Times New Roman;Times;serif"/>
          <w:sz w:val="20"/>
        </w:rPr>
        <w:t xml:space="preserve"> product is generally destroyed and the costs associated with manufacturing and inventory associated with the product is generally required to be expensed as cost of sales. However, if the out-of-specifications product can be administered as part of a clinical trial, in an expanded or early access program, or single-patient investigational new drug submission, as requested by the treating physician, the costs of the product are recorded as research and development expense based on the fact that we receive clinical data related to these infusions.</w:t>
      </w:r>
    </w:p>
    <w:p>
      <w:pPr>
        <w:pStyle w:val="TextBody"/>
        <w:bidi w:val="0"/>
        <w:spacing w:before="0" w:after="0"/>
        <w:ind w:left="0" w:right="0" w:firstLine="547"/>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The manufacturing process for Amtagvi</w:t>
      </w:r>
      <w:r>
        <w:rPr>
          <w:rFonts w:ascii="Times New Roman;Times;serif" w:hAnsi="Times New Roman;Times;serif"/>
          <w:sz w:val="15"/>
        </w:rPr>
        <w:t>®</w:t>
      </w:r>
      <w:r>
        <w:rPr>
          <w:rFonts w:ascii="Times New Roman;Times;serif" w:hAnsi="Times New Roman;Times;serif"/>
          <w:sz w:val="20"/>
        </w:rPr>
        <w:t xml:space="preserve"> is highly complex and subject to stringent FDA guidelines and requirements, as well as internal specifications and quality guidelines. Our ability to successfully manufacture Amtagvi</w:t>
      </w:r>
      <w:r>
        <w:rPr>
          <w:rFonts w:ascii="Times New Roman;Times;serif" w:hAnsi="Times New Roman;Times;serif"/>
          <w:sz w:val="15"/>
        </w:rPr>
        <w:t>®</w:t>
      </w:r>
      <w:r>
        <w:rPr>
          <w:rFonts w:ascii="Times New Roman;Times;serif" w:hAnsi="Times New Roman;Times;serif"/>
          <w:sz w:val="20"/>
        </w:rPr>
        <w:t xml:space="preserve"> and deliver finished product to ATCs for infusion into patients is dependent on several factors, including patient selection and quality of tumors provided by the treatment centers for use in the manufacturing of Amtagvi</w:t>
      </w:r>
      <w:r>
        <w:rPr>
          <w:rFonts w:ascii="Times New Roman;Times;serif" w:hAnsi="Times New Roman;Times;serif"/>
          <w:sz w:val="15"/>
        </w:rPr>
        <w:t>®</w:t>
      </w:r>
      <w:r>
        <w:rPr>
          <w:rFonts w:ascii="Times New Roman;Times;serif" w:hAnsi="Times New Roman;Times;serif"/>
          <w:sz w:val="20"/>
        </w:rPr>
        <w:t>. We focus significant effort and attention on working with the treatment centers regarding these matters, as well as on our internal manufacturing processes.</w:t>
      </w:r>
    </w:p>
    <w:p>
      <w:pPr>
        <w:pStyle w:val="TextBody"/>
        <w:bidi w:val="0"/>
        <w:spacing w:before="0" w:after="0"/>
        <w:ind w:left="0" w:right="0" w:firstLine="547"/>
        <w:jc w:val="left"/>
        <w:rPr/>
      </w:pPr>
      <w:r>
        <w:rPr/>
        <w:t>​</w:t>
      </w:r>
    </w:p>
    <w:p>
      <w:pPr>
        <w:pStyle w:val="TextBody"/>
        <w:bidi w:val="0"/>
        <w:spacing w:before="0" w:after="0"/>
        <w:ind w:left="547"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an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costs, number of sites included in the trial, discontinuation rates of patients, duration of patient follow-up, efficacy and safety profile of the product candidate, and the length of time required to enroll eligible patients.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We expect to continue to incur research and development expenses for the foreseeable future as we continue to conduct our clinical trials for our various product candidates. However, it is difficult to determine with certainty the duration and completion costs of our current or future preclinical programs and clinical trials of our product candidates.</w:t>
      </w:r>
    </w:p>
    <w:p>
      <w:pPr>
        <w:pStyle w:val="TextBody"/>
        <w:bidi w:val="0"/>
        <w:spacing w:before="0" w:after="0"/>
        <w:ind w:left="0" w:right="0" w:hanging="0"/>
        <w:jc w:val="left"/>
        <w:rPr/>
      </w:pPr>
      <w:r>
        <w:rPr/>
        <w:t>​</w:t>
      </w:r>
    </w:p>
    <w:p>
      <w:pPr>
        <w:pStyle w:val="TextBody"/>
        <w:bidi w:val="0"/>
        <w:spacing w:before="0" w:after="0"/>
        <w:ind w:left="547"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Selling, general, and administrative expenses consist primarily of salaries and other related costs, including facility costs not otherwise capitalized in inventory or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Selling,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pStyle w:val="TextBody"/>
        <w:bidi w:val="0"/>
        <w:spacing w:before="0" w:after="0"/>
        <w:ind w:left="0" w:right="0" w:firstLine="547"/>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We anticipate selling, general, and administrative expenses will increase as we expand the use of Amtagvi</w:t>
      </w:r>
      <w:r>
        <w:rPr>
          <w:rFonts w:ascii="Times New Roman;Times;serif" w:hAnsi="Times New Roman;Times;serif"/>
          <w:sz w:val="15"/>
        </w:rPr>
        <w:t>®</w:t>
      </w:r>
      <w:r>
        <w:rPr>
          <w:rFonts w:ascii="Times New Roman;Times;serif" w:hAnsi="Times New Roman;Times;serif"/>
          <w:sz w:val="20"/>
        </w:rPr>
        <w:t xml:space="preserve"> and market Proleukin</w:t>
      </w:r>
      <w:r>
        <w:rPr>
          <w:rFonts w:ascii="Times New Roman;Times;serif" w:hAnsi="Times New Roman;Times;serif"/>
          <w:sz w:val="15"/>
        </w:rPr>
        <w:t>®</w:t>
      </w:r>
      <w:r>
        <w:rPr>
          <w:rFonts w:ascii="Times New Roman;Times;serif" w:hAnsi="Times New Roman;Times;serif"/>
          <w:sz w:val="20"/>
        </w:rPr>
        <w:t>, as well as expected growth in the internal general and administrative team to align with the overall growth in the business as we execute an expected expansion in both the U.S. market and outside of the U.S.</w:t>
      </w:r>
    </w:p>
    <w:p>
      <w:pPr>
        <w:pStyle w:val="TextBody"/>
        <w:bidi w:val="0"/>
        <w:spacing w:before="0" w:after="0"/>
        <w:ind w:left="0" w:right="0" w:firstLine="547"/>
        <w:jc w:val="left"/>
        <w:rPr/>
      </w:pPr>
      <w:r>
        <w:rPr/>
        <w:t>​</w:t>
      </w:r>
    </w:p>
    <w:p>
      <w:pPr>
        <w:pStyle w:val="TextBody"/>
        <w:bidi w:val="0"/>
        <w:spacing w:before="0" w:after="0"/>
        <w:ind w:left="547"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0"/>
        <w:ind w:left="0" w:right="0" w:hanging="0"/>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Depreciation and amortization includes depreciation and amortization expense for the property and equipment as well as non-cash amortization of intangible assets, including amortization expense for the fair value step-up of acquired Proleukin</w:t>
      </w:r>
      <w:r>
        <w:rPr>
          <w:rFonts w:ascii="Times New Roman;Times;serif" w:hAnsi="Times New Roman;Times;serif"/>
          <w:sz w:val="15"/>
        </w:rPr>
        <w:t>®</w:t>
      </w:r>
      <w:r>
        <w:rPr>
          <w:rFonts w:ascii="Times New Roman;Times;serif" w:hAnsi="Times New Roman;Times;serif"/>
          <w:sz w:val="20"/>
        </w:rPr>
        <w:t xml:space="preserve"> inventory which is recognized as the acquired inventory units are sold, the developed technology intangible asset and the milestone payment recorded as part of the Acquisition, and the intellectual property license intangible asset related to Amtagvi</w:t>
      </w:r>
      <w:r>
        <w:rPr>
          <w:rFonts w:ascii="Times New Roman;Times;serif" w:hAnsi="Times New Roman;Times;serif"/>
          <w:sz w:val="15"/>
        </w:rPr>
        <w:t>®</w:t>
      </w:r>
      <w:r>
        <w:rPr>
          <w:rFonts w:ascii="Times New Roman;Times;serif" w:hAnsi="Times New Roman;Times;serif"/>
          <w:sz w:val="20"/>
        </w:rPr>
        <w:t>. These expenses are recorded on a straight-line basis over the estimated useful lives of the assets.</w:t>
      </w:r>
    </w:p>
    <w:p>
      <w:pPr>
        <w:pStyle w:val="TextBody"/>
        <w:bidi w:val="0"/>
        <w:spacing w:before="0" w:after="0"/>
        <w:ind w:left="0" w:right="0" w:hanging="0"/>
        <w:jc w:val="left"/>
        <w:rPr/>
      </w:pPr>
      <w:r>
        <w:rPr/>
        <w:t>​</w:t>
      </w:r>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Restructuring charges</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Restructuring charges consist primarily of employee severance payments and other postemployment benefit related expenses. The Company records restructuring charges based on whether the termination benefits are provided under an on-going benefit arrangement or under a one-time benefit arrangement. The Company recognizes charges related to restructuring plans when the liabilities have been incurred and can be reasonably estimated.</w:t>
      </w:r>
    </w:p>
    <w:p>
      <w:pPr>
        <w:pStyle w:val="TextBody"/>
        <w:bidi w:val="0"/>
        <w:spacing w:before="0" w:after="0"/>
        <w:ind w:left="0" w:right="0" w:hanging="0"/>
        <w:jc w:val="left"/>
        <w:rPr/>
      </w:pPr>
      <w:r>
        <w:rPr/>
        <w:t>​</w:t>
      </w:r>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Interest and other income, net is derived from our interest-bearing cash, cash equivalents and investment balances as well as other income associated with non-recurring activities such as lease terminations.</w:t>
      </w:r>
    </w:p>
    <w:p>
      <w:pPr>
        <w:pStyle w:val="TextBody"/>
        <w:bidi w:val="0"/>
        <w:spacing w:before="0" w:after="0"/>
        <w:ind w:left="0" w:right="0" w:firstLine="547"/>
        <w:jc w:val="left"/>
        <w:rPr/>
      </w:pPr>
      <w:r>
        <w:rPr/>
        <w:t>​</w:t>
      </w:r>
    </w:p>
    <w:p>
      <w:pPr>
        <w:pStyle w:val="TextBody"/>
        <w:bidi w:val="0"/>
        <w:spacing w:before="0" w:after="0"/>
        <w:ind w:left="547" w:right="0" w:hanging="0"/>
        <w:jc w:val="left"/>
        <w:rPr>
          <w:rFonts w:ascii="Times New Roman;Times;serif" w:hAnsi="Times New Roman;Times;serif"/>
          <w:b/>
          <w:sz w:val="20"/>
        </w:rPr>
      </w:pPr>
      <w:r>
        <w:rPr>
          <w:rFonts w:ascii="Times New Roman;Times;serif" w:hAnsi="Times New Roman;Times;serif"/>
          <w:b/>
          <w:sz w:val="20"/>
        </w:rPr>
        <w:t>Income tax (expense) benefit</w:t>
      </w:r>
    </w:p>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Income tax benefit pertains to the operations in the UK and realization of related deferred taxes.</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and Six Months Ended June 30, 2026 and 2025</w:t>
      </w:r>
    </w:p>
    <w:p>
      <w:pPr>
        <w:pStyle w:val="TextBody"/>
        <w:bidi w:val="0"/>
        <w:spacing w:before="0" w:after="200"/>
        <w:ind w:left="0" w:right="0" w:firstLine="547"/>
        <w:jc w:val="left"/>
        <w:rPr>
          <w:rFonts w:ascii="Times New Roman;Times;serif" w:hAnsi="Times New Roman;Times;serif"/>
          <w:b/>
          <w:sz w:val="20"/>
        </w:rPr>
      </w:pPr>
      <w:r>
        <w:rPr>
          <w:rFonts w:ascii="Times New Roman;Times;serif" w:hAnsi="Times New Roman;Times;serif"/>
          <w:b/>
          <w:sz w:val="20"/>
        </w:rPr>
        <w:t>Revenue</w:t>
      </w:r>
    </w:p>
    <w:tbl>
      <w:tblPr>
        <w:tblW w:w="9998" w:type="dxa"/>
        <w:jc w:val="left"/>
        <w:tblInd w:w="0" w:type="dxa"/>
        <w:tblLayout w:type="fixed"/>
        <w:tblCellMar>
          <w:top w:w="0" w:type="dxa"/>
          <w:left w:w="0" w:type="dxa"/>
          <w:bottom w:w="0" w:type="dxa"/>
          <w:right w:w="0" w:type="dxa"/>
        </w:tblCellMar>
      </w:tblPr>
      <w:tblGrid>
        <w:gridCol w:w="1921"/>
        <w:gridCol w:w="226"/>
        <w:gridCol w:w="211"/>
        <w:gridCol w:w="676"/>
        <w:gridCol w:w="226"/>
        <w:gridCol w:w="211"/>
        <w:gridCol w:w="676"/>
        <w:gridCol w:w="226"/>
        <w:gridCol w:w="211"/>
        <w:gridCol w:w="676"/>
        <w:gridCol w:w="226"/>
        <w:gridCol w:w="316"/>
        <w:gridCol w:w="226"/>
        <w:gridCol w:w="211"/>
        <w:gridCol w:w="781"/>
        <w:gridCol w:w="226"/>
        <w:gridCol w:w="211"/>
        <w:gridCol w:w="781"/>
        <w:gridCol w:w="226"/>
        <w:gridCol w:w="211"/>
        <w:gridCol w:w="676"/>
        <w:gridCol w:w="226"/>
        <w:gridCol w:w="42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19835" cy="175260"/>
                      <wp:effectExtent l="0" t="0" r="0" b="0"/>
                      <wp:wrapNone/>
                      <wp:docPr id="311" name="Frame311"/>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3510" cy="175260"/>
                      <wp:effectExtent l="0" t="0" r="0" b="0"/>
                      <wp:wrapNone/>
                      <wp:docPr id="312" name="Frame3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29260" cy="175260"/>
                      <wp:effectExtent l="0" t="0" r="0" b="0"/>
                      <wp:wrapNone/>
                      <wp:docPr id="314" name="Frame3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3510" cy="175260"/>
                      <wp:effectExtent l="0" t="0" r="0" b="0"/>
                      <wp:wrapNone/>
                      <wp:docPr id="315" name="Frame3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29260" cy="175260"/>
                      <wp:effectExtent l="0" t="0" r="0" b="0"/>
                      <wp:wrapNone/>
                      <wp:docPr id="317" name="Frame3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43510" cy="175260"/>
                      <wp:effectExtent l="0" t="0" r="0" b="0"/>
                      <wp:wrapNone/>
                      <wp:docPr id="318" name="Frame3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9"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9260" cy="175260"/>
                      <wp:effectExtent l="0" t="0" r="0" b="0"/>
                      <wp:wrapNone/>
                      <wp:docPr id="320" name="Frame3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3510" cy="175260"/>
                      <wp:effectExtent l="0" t="0" r="0" b="0"/>
                      <wp:wrapNone/>
                      <wp:docPr id="321" name="Frame3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0660" cy="175260"/>
                      <wp:effectExtent l="0" t="0" r="0" b="0"/>
                      <wp:wrapNone/>
                      <wp:docPr id="322" name="Frame3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43510" cy="175260"/>
                      <wp:effectExtent l="0" t="0" r="0" b="0"/>
                      <wp:wrapNone/>
                      <wp:docPr id="323" name="Frame3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5" name="Frame3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43510" cy="175260"/>
                      <wp:effectExtent l="0" t="0" r="0" b="0"/>
                      <wp:wrapNone/>
                      <wp:docPr id="326" name="Frame3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8"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43510" cy="175260"/>
                      <wp:effectExtent l="0" t="0" r="0" b="0"/>
                      <wp:wrapNone/>
                      <wp:docPr id="329" name="Frame3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29260" cy="175260"/>
                      <wp:effectExtent l="0" t="0" r="0" b="0"/>
                      <wp:wrapNone/>
                      <wp:docPr id="331" name="Frame3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43510" cy="175260"/>
                      <wp:effectExtent l="0" t="0" r="0" b="0"/>
                      <wp:wrapNone/>
                      <wp:docPr id="332" name="Frame3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67335" cy="175260"/>
                      <wp:effectExtent l="0" t="0" r="0" b="0"/>
                      <wp:wrapNone/>
                      <wp:docPr id="333" name="Frame3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0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center"/>
              <w:rPr/>
            </w:pPr>
            <w:r>
              <w:rPr/>
              <w:t>​</w:t>
            </w:r>
          </w:p>
        </w:tc>
        <w:tc>
          <w:tcPr>
            <w:tcW w:w="14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26" w:type="dxa"/>
            <w:tcBorders/>
            <w:vAlign w:val="center"/>
          </w:tcPr>
          <w:p>
            <w:pPr>
              <w:pStyle w:val="TableContents"/>
              <w:bidi w:val="0"/>
              <w:spacing w:before="0" w:after="0"/>
              <w:ind w:left="0" w:right="0" w:hanging="0"/>
              <w:jc w:val="left"/>
              <w:rPr/>
            </w:pPr>
            <w:r>
              <w:rPr/>
              <w:t> </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6" w:type="dxa"/>
            <w:tcBorders/>
            <w:vAlign w:val="center"/>
          </w:tcPr>
          <w:p>
            <w:pPr>
              <w:pStyle w:val="TableContents"/>
              <w:bidi w:val="0"/>
              <w:spacing w:before="0" w:after="0"/>
              <w:ind w:left="0" w:right="0" w:hanging="0"/>
              <w:jc w:val="center"/>
              <w:rPr/>
            </w:pPr>
            <w:r>
              <w:rPr/>
              <w:t>​</w:t>
            </w:r>
          </w:p>
        </w:tc>
        <w:tc>
          <w:tcPr>
            <w:tcW w:w="153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9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4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26" w:type="dxa"/>
            <w:tcBorders/>
            <w:vAlign w:val="center"/>
          </w:tcPr>
          <w:p>
            <w:pPr>
              <w:pStyle w:val="TableContents"/>
              <w:bidi w:val="0"/>
              <w:spacing w:before="0" w:after="0"/>
              <w:ind w:left="0" w:right="0" w:hanging="0"/>
              <w:jc w:val="left"/>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5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90,721</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54,074</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36,647</w:t>
            </w:r>
          </w:p>
        </w:tc>
        <w:tc>
          <w:tcPr>
            <w:tcW w:w="226"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150,943</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97,645</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53,298</w:t>
            </w:r>
          </w:p>
        </w:tc>
        <w:tc>
          <w:tcPr>
            <w:tcW w:w="226"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9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8,592</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5,878</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226" w:type="dxa"/>
            <w:tcBorders/>
            <w:vAlign w:val="center"/>
          </w:tcPr>
          <w:p>
            <w:pPr>
              <w:pStyle w:val="TableContents"/>
              <w:bidi w:val="0"/>
              <w:spacing w:before="0" w:after="0"/>
              <w:ind w:left="0" w:right="0" w:hanging="0"/>
              <w:jc w:val="center"/>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11,631</w:t>
            </w:r>
          </w:p>
        </w:tc>
        <w:tc>
          <w:tcPr>
            <w:tcW w:w="2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8,169</w:t>
            </w:r>
          </w:p>
        </w:tc>
        <w:tc>
          <w:tcPr>
            <w:tcW w:w="226" w:type="dxa"/>
            <w:tcBorders/>
            <w:vAlign w:val="center"/>
          </w:tcPr>
          <w:p>
            <w:pPr>
              <w:pStyle w:val="TableContents"/>
              <w:bidi w:val="0"/>
              <w:spacing w:before="0" w:after="0"/>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99,313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59,952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39,361</w:t>
            </w:r>
          </w:p>
        </w:tc>
        <w:tc>
          <w:tcPr>
            <w:tcW w:w="226" w:type="dxa"/>
            <w:tcBorders/>
            <w:shd w:fill="CCEEFF" w:val="clear"/>
            <w:vAlign w:val="center"/>
          </w:tcPr>
          <w:p>
            <w:pPr>
              <w:pStyle w:val="TableContents"/>
              <w:bidi w:val="0"/>
              <w:spacing w:before="0" w:after="0"/>
              <w:ind w:left="0" w:right="0" w:hanging="0"/>
              <w:jc w:val="righ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170,743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109,276</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61,467</w:t>
            </w:r>
          </w:p>
        </w:tc>
        <w:tc>
          <w:tcPr>
            <w:tcW w:w="226" w:type="dxa"/>
            <w:tcBorders/>
            <w:shd w:fill="CCEEFF" w:val="clear"/>
            <w:vAlign w:val="center"/>
          </w:tcPr>
          <w:p>
            <w:pPr>
              <w:pStyle w:val="TableContents"/>
              <w:bidi w:val="0"/>
              <w:spacing w:before="0" w:after="0"/>
              <w:ind w:left="0" w:right="0" w:hanging="0"/>
              <w:jc w:val="righ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Revenue for the three and six months ended June 30, 2026 increased by $39.4 million, or 66%, and by $61.5million, or 56%, compared to the same periods in 2025. The increase in revenue as compared to the prior period was driven by an increase in Amtagvi</w:t>
      </w:r>
      <w:r>
        <w:rPr>
          <w:rFonts w:ascii="Times New Roman;Times;serif" w:hAnsi="Times New Roman;Times;serif"/>
          <w:sz w:val="15"/>
        </w:rPr>
        <w:t>®</w:t>
      </w:r>
      <w:r>
        <w:rPr>
          <w:rFonts w:ascii="Times New Roman;Times;serif" w:hAnsi="Times New Roman;Times;serif"/>
          <w:sz w:val="20"/>
        </w:rPr>
        <w:t xml:space="preserve"> infusions, correspondent increase in Proleukin</w:t>
      </w:r>
      <w:r>
        <w:rPr>
          <w:rFonts w:ascii="Times New Roman;Times;serif" w:hAnsi="Times New Roman;Times;serif"/>
          <w:sz w:val="15"/>
        </w:rPr>
        <w:t>®</w:t>
      </w:r>
      <w:r>
        <w:rPr>
          <w:rFonts w:ascii="Times New Roman;Times;serif" w:hAnsi="Times New Roman;Times;serif"/>
          <w:sz w:val="20"/>
        </w:rPr>
        <w:t xml:space="preserve">, and price increases for both products. </w:t>
      </w:r>
    </w:p>
    <w:p>
      <w:pPr>
        <w:pStyle w:val="TextBody"/>
        <w:bidi w:val="0"/>
        <w:spacing w:before="0" w:after="0"/>
        <w:ind w:left="0" w:right="0" w:firstLine="547"/>
        <w:jc w:val="both"/>
        <w:rPr/>
      </w:pPr>
      <w:r>
        <w:rPr/>
        <w: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shd w:fill="FFFFFF" w:val="clear"/>
        </w:rPr>
        <w:t>As it relates to revenue timing for our products,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infusions are expected to lag behind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related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sales by 2-3 months, and we expect ATCs to utilize approximately 15 Proleukin</w:t>
      </w:r>
      <w:r>
        <w:rPr>
          <w:rFonts w:ascii="Times New Roman;Times;serif" w:hAnsi="Times New Roman;Times;serif"/>
          <w:sz w:val="15"/>
          <w:shd w:fill="FFFFFF" w:val="clear"/>
        </w:rPr>
        <w:t xml:space="preserve">® </w:t>
      </w:r>
      <w:r>
        <w:rPr>
          <w:rFonts w:ascii="Times New Roman;Times;serif" w:hAnsi="Times New Roman;Times;serif"/>
          <w:sz w:val="20"/>
          <w:shd w:fill="FFFFFF" w:val="clear"/>
        </w:rPr>
        <w:t>vials per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infusion. While such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sales are not directly indicative of future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revenues because of the timing of stocking activities by specialty distributors and because of sales that are not related to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infusions, such as sales of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utilized in clinical manufacturing or clinical trials, such sales are one indicator of future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revenues.</w:t>
      </w:r>
    </w:p>
    <w:p>
      <w:pPr>
        <w:pStyle w:val="TextBody"/>
        <w:bidi w:val="0"/>
        <w:spacing w:before="0" w:after="200"/>
        <w:ind w:left="0" w:right="0" w:firstLine="547"/>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and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following table summarizes the period-over-period changes in our costs and expenses: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08"/>
        <w:gridCol w:w="226"/>
        <w:gridCol w:w="211"/>
        <w:gridCol w:w="781"/>
        <w:gridCol w:w="226"/>
        <w:gridCol w:w="211"/>
        <w:gridCol w:w="781"/>
        <w:gridCol w:w="109"/>
        <w:gridCol w:w="211"/>
        <w:gridCol w:w="751"/>
        <w:gridCol w:w="226"/>
        <w:gridCol w:w="391"/>
        <w:gridCol w:w="226"/>
        <w:gridCol w:w="211"/>
        <w:gridCol w:w="781"/>
        <w:gridCol w:w="226"/>
        <w:gridCol w:w="211"/>
        <w:gridCol w:w="781"/>
        <w:gridCol w:w="109"/>
        <w:gridCol w:w="211"/>
        <w:gridCol w:w="751"/>
        <w:gridCol w:w="226"/>
        <w:gridCol w:w="440"/>
      </w:tblGrid>
      <w:tr>
        <w:trPr/>
        <w:tc>
          <w:tcPr>
            <w:tcW w:w="1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11580" cy="175260"/>
                      <wp:effectExtent l="0" t="0" r="0" b="0"/>
                      <wp:wrapNone/>
                      <wp:docPr id="334" name="Frame334"/>
                      <a:graphic xmlns:a="http://schemas.openxmlformats.org/drawingml/2006/main">
                        <a:graphicData uri="http://schemas.microsoft.com/office/word/2010/wordprocessingShape">
                          <wps:wsp>
                            <wps:cNvSpPr txBox="1"/>
                            <wps:spPr>
                              <a:xfrm>
                                <a:off x="0" y="0"/>
                                <a:ext cx="1211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43510" cy="175260"/>
                      <wp:effectExtent l="0" t="0" r="0" b="0"/>
                      <wp:wrapNone/>
                      <wp:docPr id="335" name="Frame3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95935" cy="175260"/>
                      <wp:effectExtent l="0" t="0" r="0" b="0"/>
                      <wp:wrapNone/>
                      <wp:docPr id="337"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43510" cy="175260"/>
                      <wp:effectExtent l="0" t="0" r="0" b="0"/>
                      <wp:wrapNone/>
                      <wp:docPr id="338" name="Frame3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5935" cy="175260"/>
                      <wp:effectExtent l="0" t="0" r="0" b="0"/>
                      <wp:wrapNone/>
                      <wp:docPr id="340" name="Frame3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76885" cy="175260"/>
                      <wp:effectExtent l="0" t="0" r="0" b="0"/>
                      <wp:wrapNone/>
                      <wp:docPr id="343" name="Frame34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3510" cy="175260"/>
                      <wp:effectExtent l="0" t="0" r="0" b="0"/>
                      <wp:wrapNone/>
                      <wp:docPr id="344" name="Frame3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48285" cy="175260"/>
                      <wp:effectExtent l="0" t="0" r="0" b="0"/>
                      <wp:wrapNone/>
                      <wp:docPr id="345" name="Frame34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43510" cy="175260"/>
                      <wp:effectExtent l="0" t="0" r="0" b="0"/>
                      <wp:wrapNone/>
                      <wp:docPr id="346" name="Frame34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8" name="Frame3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43510" cy="175260"/>
                      <wp:effectExtent l="0" t="0" r="0" b="0"/>
                      <wp:wrapNone/>
                      <wp:docPr id="349" name="Frame34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5935" cy="175260"/>
                      <wp:effectExtent l="0" t="0" r="0" b="0"/>
                      <wp:wrapNone/>
                      <wp:docPr id="351" name="Frame3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76885" cy="175260"/>
                      <wp:effectExtent l="0" t="0" r="0" b="0"/>
                      <wp:wrapNone/>
                      <wp:docPr id="354" name="Frame35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3510" cy="175260"/>
                      <wp:effectExtent l="0" t="0" r="0" b="0"/>
                      <wp:wrapNone/>
                      <wp:docPr id="355" name="Frame35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79400" cy="175260"/>
                      <wp:effectExtent l="0" t="0" r="0" b="0"/>
                      <wp:wrapNone/>
                      <wp:docPr id="356" name="Frame356"/>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57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26" w:type="dxa"/>
            <w:tcBorders/>
            <w:vAlign w:val="center"/>
          </w:tcPr>
          <w:p>
            <w:pPr>
              <w:pStyle w:val="TableContents"/>
              <w:bidi w:val="0"/>
              <w:spacing w:before="0" w:after="0"/>
              <w:ind w:left="0" w:right="0" w:hanging="0"/>
              <w:jc w:val="center"/>
              <w:rPr/>
            </w:pPr>
            <w:r>
              <w:rPr/>
              <w:t>​</w:t>
            </w:r>
          </w:p>
        </w:tc>
        <w:tc>
          <w:tcPr>
            <w:tcW w:w="22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0" w:after="0"/>
              <w:ind w:left="0" w:right="0" w:hanging="0"/>
              <w:jc w:val="center"/>
              <w:rPr/>
            </w:pPr>
            <w:r>
              <w:rPr/>
              <w:t>​</w:t>
            </w:r>
          </w:p>
        </w:tc>
        <w:tc>
          <w:tcPr>
            <w:tcW w:w="162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908"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26" w:type="dxa"/>
            <w:tcBorders/>
            <w:vAlign w:val="center"/>
          </w:tcPr>
          <w:p>
            <w:pPr>
              <w:pStyle w:val="TableContents"/>
              <w:bidi w:val="0"/>
              <w:spacing w:before="0" w:after="0"/>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62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9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39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51"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440" w:type="dxa"/>
            <w:tcBorders/>
            <w:shd w:fill="CCEEFF" w:val="clear"/>
            <w:vAlign w:val="center"/>
          </w:tcPr>
          <w:p>
            <w:pPr>
              <w:pStyle w:val="TableContents"/>
              <w:bidi w:val="0"/>
              <w:spacing w:before="0" w:after="0"/>
              <w:ind w:left="0" w:right="0" w:hanging="0"/>
              <w:jc w:val="center"/>
              <w:rPr/>
            </w:pPr>
            <w:r>
              <w:rPr/>
              <w:t>​</w:t>
            </w:r>
          </w:p>
        </w:tc>
      </w:tr>
      <w:tr>
        <w:trPr/>
        <w:tc>
          <w:tcPr>
            <w:tcW w:w="19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43,595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w:t>
            </w:r>
          </w:p>
        </w:tc>
        <w:tc>
          <w:tcPr>
            <w:tcW w:w="22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86,093</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w:t>
            </w:r>
          </w:p>
        </w:tc>
        <w:tc>
          <w:tcPr>
            <w:tcW w:w="226"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9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(19,077)</w:t>
            </w:r>
          </w:p>
        </w:tc>
        <w:tc>
          <w:tcPr>
            <w:tcW w:w="22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(32,557)</w:t>
            </w:r>
          </w:p>
        </w:tc>
        <w:tc>
          <w:tcPr>
            <w:tcW w:w="226"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9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39,272</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c>
          <w:tcPr>
            <w:tcW w:w="22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78,221</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w:t>
            </w:r>
          </w:p>
        </w:tc>
        <w:tc>
          <w:tcPr>
            <w:tcW w:w="226" w:type="dxa"/>
            <w:tcBorders/>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226" w:type="dxa"/>
            <w:tcBorders/>
            <w:shd w:fill="CCEEFF" w:val="clear"/>
            <w:vAlign w:val="center"/>
          </w:tcPr>
          <w:p>
            <w:pPr>
              <w:pStyle w:val="TableContents"/>
              <w:bidi w:val="0"/>
              <w:spacing w:before="0" w:after="0"/>
              <w:ind w:left="0" w:right="0" w:hanging="0"/>
              <w:jc w:val="righ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226" w:type="dxa"/>
            <w:tcBorders/>
            <w:shd w:fill="CCEEFF" w:val="clear"/>
            <w:vAlign w:val="center"/>
          </w:tcPr>
          <w:p>
            <w:pPr>
              <w:pStyle w:val="TableContents"/>
              <w:bidi w:val="0"/>
              <w:spacing w:before="0" w:after="0"/>
              <w:ind w:left="0" w:right="0" w:hanging="0"/>
              <w:jc w:val="right"/>
              <w:rPr/>
            </w:pPr>
            <w:r>
              <w:rPr/>
              <w:t>​</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151,218</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(22,508)</w:t>
            </w:r>
          </w:p>
        </w:tc>
        <w:tc>
          <w:tcPr>
            <w:tcW w:w="226" w:type="dxa"/>
            <w:tcBorders/>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303,691</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344,271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(40,580)</w:t>
            </w:r>
          </w:p>
        </w:tc>
        <w:tc>
          <w:tcPr>
            <w:tcW w:w="226" w:type="dxa"/>
            <w:tcBorders/>
            <w:vAlign w:val="center"/>
          </w:tcPr>
          <w:p>
            <w:pPr>
              <w:pStyle w:val="TableContents"/>
              <w:bidi w:val="0"/>
              <w:spacing w:before="0" w:after="0"/>
              <w:ind w:left="0" w:right="0" w:hanging="0"/>
              <w:jc w:val="right"/>
              <w:rPr/>
            </w:pPr>
            <w:r>
              <w:rPr/>
              <w:t>​</w:t>
            </w:r>
          </w:p>
        </w:tc>
        <w:tc>
          <w:tcPr>
            <w:tcW w:w="4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9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Excludes depreciation and amortization</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
        <w:ind w:left="0" w:right="0" w:hanging="0"/>
        <w:jc w:val="left"/>
        <w:rPr/>
      </w:pPr>
      <w:r>
        <w:rPr/>
        <w:t>​</w:t>
      </w:r>
      <w:r>
        <w:rPr>
          <w:rFonts w:ascii="Times New Roman;Times;serif" w:hAnsi="Times New Roman;Times;serif"/>
          <w:b/>
          <w:i/>
          <w:sz w:val="20"/>
        </w:rPr>
        <w:br/>
        <w:t>Cost of sales</w:t>
      </w:r>
    </w:p>
    <w:p>
      <w:pPr>
        <w:pStyle w:val="TextBody"/>
        <w:bidi w:val="0"/>
        <w:spacing w:before="0" w:after="1"/>
        <w:ind w:left="0" w:right="0" w:hanging="0"/>
        <w:jc w:val="left"/>
        <w:rPr/>
      </w:pPr>
      <w:r>
        <w:rPr/>
        <w:t>​</w:t>
      </w:r>
    </w:p>
    <w:p>
      <w:pPr>
        <w:pStyle w:val="TextBody"/>
        <w:bidi w:val="0"/>
        <w:spacing w:lineRule="auto" w:line="240" w:before="0" w:after="0"/>
        <w:ind w:left="0" w:right="0" w:firstLine="547"/>
        <w:jc w:val="left"/>
        <w:rPr>
          <w:rFonts w:ascii="Times New Roman;Times;serif" w:hAnsi="Times New Roman;Times;serif"/>
          <w:i/>
          <w:sz w:val="20"/>
        </w:rPr>
      </w:pPr>
      <w:bookmarkStart w:id="1769" w:name="_Hlk141703614"/>
      <w:bookmarkEnd w:id="1769"/>
      <w:r>
        <w:rPr>
          <w:rFonts w:ascii="Times New Roman;Times;serif" w:hAnsi="Times New Roman;Times;serif"/>
          <w:i w:val="false"/>
          <w:caps w:val="false"/>
          <w:smallCaps w:val="false"/>
          <w:sz w:val="20"/>
        </w:rPr>
        <w:t>Cost of sales, excluding depreciation and amortization, for the three months ended June 30, 2026 decreased by $5.3 million, or 11%, compared to the same period in 2025. The decrease was driven by a (i) a $5.3 million decrease in excess and obsolescence reserve supported by the increased demand and (ii) $3.9 million decrease in period costs primarily related to patient drop-off driven by patient health and ability to receive the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treatment, as well as manufacturing results that did not meet required specifications, and were not otherwise utilized under an expanded access program or single-patient IND to generate clinical data.</w:t>
      </w:r>
      <w:r>
        <w:rPr>
          <w:rFonts w:ascii="Times New Roman;Times;serif" w:hAnsi="Times New Roman;Times;serif"/>
          <w:i/>
          <w:caps w:val="false"/>
          <w:smallCaps w:val="false"/>
          <w:color w:val="EE0000"/>
          <w:sz w:val="20"/>
        </w:rPr>
        <w:t xml:space="preserve"> </w:t>
      </w:r>
      <w:r>
        <w:rPr>
          <w:rFonts w:ascii="Times New Roman;Times;serif" w:hAnsi="Times New Roman;Times;serif"/>
          <w:i w:val="false"/>
          <w:caps w:val="false"/>
          <w:smallCaps w:val="false"/>
          <w:sz w:val="20"/>
        </w:rPr>
        <w:t>This decrease was partially offset by (i) a $2.9 million increase from sales of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Proleukin</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products as well as costs related to the manufacturing of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(ii) a $1.0 million increase in royalties payable related to the increase in sales of Proleukin.</w:t>
        <w:br/>
      </w:r>
      <w:r>
        <w:rPr>
          <w:rFonts w:ascii="Times New Roman;Times;serif" w:hAnsi="Times New Roman;Times;serif"/>
          <w:i/>
          <w:caps w:val="false"/>
          <w:smallCaps w:val="false"/>
          <w:color w:val="EE0000"/>
          <w:sz w:val="20"/>
        </w:rPr>
        <w:t>​</w:t>
      </w:r>
    </w:p>
    <w:p>
      <w:pPr>
        <w:pStyle w:val="TextBody"/>
        <w:bidi w:val="0"/>
        <w:spacing w:lineRule="auto" w:line="240" w:before="0" w:after="0"/>
        <w:ind w:left="0" w:right="0" w:firstLine="547"/>
        <w:jc w:val="left"/>
        <w:rPr>
          <w:rFonts w:ascii="Times New Roman;Times;serif" w:hAnsi="Times New Roman;Times;serif"/>
          <w:i/>
          <w:sz w:val="20"/>
        </w:rPr>
      </w:pPr>
      <w:r>
        <w:rPr>
          <w:rFonts w:ascii="Times New Roman;Times;serif" w:hAnsi="Times New Roman;Times;serif"/>
          <w:i w:val="false"/>
          <w:caps w:val="false"/>
          <w:smallCaps w:val="false"/>
          <w:sz w:val="20"/>
        </w:rPr>
        <w:t>Cost of sales, excluding depreciation and amortization, for the six months ended June 30, 2026 decreased by $5.5 million, or 6%, compared to the same period in 2025. The decrease was driven by (i) a $9.2 million decrease in period costs primarily related to patient drop-off driven by patient health and ability to receive the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treatment, as well as manufacturing results that did not meet required specifications, and were not otherwise utilized under an expanded access program or single-patient IND to generate clinical data and (ii) a $5.3 million decrease in excess and obsolescence reserve supported by the increased demand. These decreases were partially offset by (i) a $6.6 million increase from sales of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Proleukin</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products as well as costs related to the manufacturing of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(ii) a $2.4 million increase in royalties payable related to the increase in sales of Proleukin.</w:t>
      </w:r>
    </w:p>
    <w:p>
      <w:pPr>
        <w:pStyle w:val="TextBody"/>
        <w:bidi w:val="0"/>
        <w:spacing w:before="0" w:after="200"/>
        <w:ind w:left="0" w:right="0" w:firstLine="547"/>
        <w:jc w:val="left"/>
        <w:rPr>
          <w:caps w:val="false"/>
          <w:smallCaps w:val="false"/>
        </w:rPr>
      </w:pPr>
      <w:r>
        <w:rPr>
          <w:caps w:val="false"/>
          <w:smallCaps w:val="false"/>
        </w:rPr>
        <w:t>​</w:t>
      </w:r>
    </w:p>
    <w:p>
      <w:pPr>
        <w:pStyle w:val="TextBody"/>
        <w:bidi w:val="0"/>
        <w:spacing w:before="0" w:after="0"/>
        <w:ind w:left="0" w:right="0" w:firstLine="547"/>
        <w:jc w:val="left"/>
        <w:rPr>
          <w:rFonts w:ascii="Times New Roman;Times;serif" w:hAnsi="Times New Roman;Times;serif"/>
          <w:b/>
          <w:i/>
          <w:sz w:val="20"/>
        </w:rPr>
      </w:pPr>
      <w:r>
        <w:rPr>
          <w:rFonts w:ascii="Times New Roman;Times;serif" w:hAnsi="Times New Roman;Times;serif"/>
          <w:b/>
          <w:i/>
          <w:sz w:val="20"/>
        </w:rPr>
        <w:t xml:space="preserve">Research and development expense </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bookmarkStart w:id="1770" w:name="_Hlk157532815"/>
      <w:bookmarkEnd w:id="1770"/>
      <w:r>
        <w:rPr>
          <w:rFonts w:ascii="Times New Roman;Times;serif" w:hAnsi="Times New Roman;Times;serif"/>
          <w:sz w:val="20"/>
        </w:rPr>
        <w:t xml:space="preserve">Research and development expenses for the three months ended June 30, 2026 decreased by $19.1 million, or 24%, compared to the same period in 2025. The decrease was primarily attributable to (i) a $7.3 million decrease in consultant costs, primarily driven by a decrease in outside services cost driven by the number of consultants, (ii) a $5.0 million decrease in manufacturing fees, primarily due to the contract termination with our external contract manufacturer, (iii) a $3.9 million decrease in clinical trial costs, driven primarily by completion of melanoma and cervical clinical trials as well as other ongoing studies advancing into a late-stage of clinical trials, (iv) a $1.6 million decrease in other costs, including lab consumables, travel and license cost, and (v) a $1.3 million decrease in stock-based compensation expense primarily driven by a lower number of stock awards granted at lower average stock price.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Research and development expenses for the six months ended June 30, 2026 decreased by $32.6 million, or 21%, compared to the same period in 2025. The decrease was primarily attributable to (i) a $12.1 million decrease in outside services cost driven by a decrease in the number of consultants, (ii) a $9.4 million decrease in clinical trial costs, driven primarily by completion of 144-01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144-05 clinical trials as well as other ongoing studies advancing into a late-stage of clinical trials, (iii) a $7.1 million decrease in stock-based compensation expense primarily driven by a lower number of stock awards granted at lower average stock price, (iv) a $2.4 million decrease in other costs, including travel and license cost, and (v) a $1.6 million decrease in manufacturing fees, primarily due to the contract termination with our external contract manufacturer. </w:t>
      </w:r>
    </w:p>
    <w:p>
      <w:pPr>
        <w:pStyle w:val="TextBody"/>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separate our research and development expenses into two broad categories: direct and indirect. Additionally, with respect to direct research and development expenses, we further divide expenses into the following sub-categories: “TIL, including combination therapy,” “Next Generation,” and “Other clinical, preclinical and research programs under development.” Lifileucel monotherapy includes our TIL monotherapy clinical trials, including clinical trials previously reported as LN-145.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pStyle w:val="TextBody"/>
        <w:shd w:fill="FFFFFF" w:val="clear"/>
        <w:bidi w:val="0"/>
        <w:spacing w:before="0" w:after="0"/>
        <w:ind w:left="0" w:right="0" w:firstLine="547"/>
        <w:jc w:val="left"/>
        <w:rPr/>
      </w:pPr>
      <w:r>
        <w:rPr/>
        <w:t>​</w:t>
      </w:r>
    </w:p>
    <w:p>
      <w:pPr>
        <w:pStyle w:val="TextBody"/>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All remaining research and development expenses are categorized as indirect research and development expenses. Such indirect research and development expenses include employee salaries and benefits, stock-based compensation, consulting and contracted 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pStyle w:val="TextBody"/>
        <w:shd w:fill="FFFFFF" w:val="clear"/>
        <w:bidi w:val="0"/>
        <w:spacing w:before="0" w:after="0"/>
        <w:ind w:left="0" w:right="0" w:firstLine="547"/>
        <w:jc w:val="left"/>
        <w:rPr/>
      </w:pPr>
      <w:r>
        <w:rPr/>
        <w:t>​</w:t>
      </w:r>
    </w:p>
    <w:p>
      <w:pPr>
        <w:pStyle w:val="TextBody"/>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table below summarizes our research and development expenses by therapeutic area (in thousands):</w:t>
      </w:r>
    </w:p>
    <w:p>
      <w:pPr>
        <w:pStyle w:val="TextBody"/>
        <w:shd w:fill="FFFFFF" w:val="clear"/>
        <w:bidi w:val="0"/>
        <w:spacing w:before="0" w:after="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2579"/>
        <w:gridCol w:w="211"/>
        <w:gridCol w:w="676"/>
        <w:gridCol w:w="109"/>
        <w:gridCol w:w="211"/>
        <w:gridCol w:w="676"/>
        <w:gridCol w:w="109"/>
        <w:gridCol w:w="211"/>
        <w:gridCol w:w="753"/>
        <w:gridCol w:w="226"/>
        <w:gridCol w:w="393"/>
        <w:gridCol w:w="109"/>
        <w:gridCol w:w="211"/>
        <w:gridCol w:w="781"/>
        <w:gridCol w:w="109"/>
        <w:gridCol w:w="211"/>
        <w:gridCol w:w="781"/>
        <w:gridCol w:w="109"/>
        <w:gridCol w:w="211"/>
        <w:gridCol w:w="753"/>
        <w:gridCol w:w="109"/>
        <w:gridCol w:w="226"/>
        <w:gridCol w:w="441"/>
      </w:tblGrid>
      <w:tr>
        <w:trPr/>
        <w:tc>
          <w:tcPr>
            <w:tcW w:w="2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37665" cy="175260"/>
                      <wp:effectExtent l="0" t="0" r="0" b="0"/>
                      <wp:wrapNone/>
                      <wp:docPr id="357" name="Frame357"/>
                      <a:graphic xmlns:a="http://schemas.openxmlformats.org/drawingml/2006/main">
                        <a:graphicData uri="http://schemas.microsoft.com/office/word/2010/wordprocessingShape">
                          <wps:wsp>
                            <wps:cNvSpPr txBox="1"/>
                            <wps:spPr>
                              <a:xfrm>
                                <a:off x="0" y="0"/>
                                <a:ext cx="163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29260" cy="175260"/>
                      <wp:effectExtent l="0" t="0" r="0" b="0"/>
                      <wp:wrapNone/>
                      <wp:docPr id="359" name="Frame3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9260" cy="175260"/>
                      <wp:effectExtent l="0" t="0" r="0" b="0"/>
                      <wp:wrapNone/>
                      <wp:docPr id="362" name="Frame3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78155" cy="175260"/>
                      <wp:effectExtent l="0" t="0" r="0" b="0"/>
                      <wp:wrapNone/>
                      <wp:docPr id="365" name="Frame365"/>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3510" cy="175260"/>
                      <wp:effectExtent l="0" t="0" r="0" b="0"/>
                      <wp:wrapNone/>
                      <wp:docPr id="366" name="Frame3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49555" cy="175260"/>
                      <wp:effectExtent l="0" t="0" r="0" b="0"/>
                      <wp:wrapNone/>
                      <wp:docPr id="367" name="Frame36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70" name="Frame3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9215" cy="175260"/>
                      <wp:effectExtent l="0" t="0" r="0" b="0"/>
                      <wp:wrapNone/>
                      <wp:docPr id="371" name="Frame3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78155" cy="175260"/>
                      <wp:effectExtent l="0" t="0" r="0" b="0"/>
                      <wp:wrapNone/>
                      <wp:docPr id="376" name="Frame376"/>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43510" cy="175260"/>
                      <wp:effectExtent l="0" t="0" r="0" b="0"/>
                      <wp:wrapNone/>
                      <wp:docPr id="378" name="Frame3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80035" cy="175260"/>
                      <wp:effectExtent l="0" t="0" r="0" b="0"/>
                      <wp:wrapNone/>
                      <wp:docPr id="379" name="Frame379"/>
                      <a:graphic xmlns:a="http://schemas.openxmlformats.org/drawingml/2006/main">
                        <a:graphicData uri="http://schemas.microsoft.com/office/word/2010/wordprocessingShape">
                          <wps:wsp>
                            <wps:cNvSpPr txBox="1"/>
                            <wps:spPr>
                              <a:xfrm>
                                <a:off x="0" y="0"/>
                                <a:ext cx="28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79"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right"/>
              <w:rPr/>
            </w:pPr>
            <w:r>
              <w:rPr/>
              <w:t>​</w:t>
            </w:r>
          </w:p>
        </w:tc>
        <w:tc>
          <w:tcPr>
            <w:tcW w:w="1781" w:type="dxa"/>
            <w:gridSpan w:val="5"/>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03"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1882" w:type="dxa"/>
            <w:gridSpan w:val="4"/>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shd w:fill="FFFFFF" w:val="clear"/>
            <w:vAlign w:val="center"/>
          </w:tcPr>
          <w:p>
            <w:pPr>
              <w:pStyle w:val="TableContents"/>
              <w:bidi w:val="0"/>
              <w:spacing w:before="0" w:after="0"/>
              <w:ind w:left="0" w:right="0" w:hanging="0"/>
              <w:jc w:val="right"/>
              <w:rPr/>
            </w:pPr>
            <w:r>
              <w:rPr/>
              <w:t>​</w:t>
            </w:r>
          </w:p>
        </w:tc>
        <w:tc>
          <w:tcPr>
            <w:tcW w:w="1529" w:type="dxa"/>
            <w:gridSpan w:val="4"/>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2579" w:type="dxa"/>
            <w:tcBorders/>
            <w:shd w:fill="FFFF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67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FFFFFF" w:val="clear"/>
            <w:vAlign w:val="center"/>
          </w:tcPr>
          <w:p>
            <w:pPr>
              <w:pStyle w:val="TableContents"/>
              <w:bidi w:val="0"/>
              <w:spacing w:before="0" w:after="0"/>
              <w:ind w:left="0" w:right="0" w:hanging="0"/>
              <w:jc w:val="left"/>
              <w:rPr/>
            </w:pPr>
            <w:r>
              <w:rPr/>
              <w:t>​</w:t>
            </w:r>
          </w:p>
        </w:tc>
        <w:tc>
          <w:tcPr>
            <w:tcW w:w="1583"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882"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529"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2579" w:type="dxa"/>
            <w:tcBorders/>
            <w:shd w:fill="FFFF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right"/>
              <w:rPr/>
            </w:pPr>
            <w:r>
              <w:rPr/>
              <w:t>​</w:t>
            </w:r>
          </w:p>
        </w:tc>
        <w:tc>
          <w:tcPr>
            <w:tcW w:w="67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shd w:fill="FFFFFF" w:val="clear"/>
            <w:vAlign w:val="center"/>
          </w:tcPr>
          <w:p>
            <w:pPr>
              <w:pStyle w:val="TableContents"/>
              <w:bidi w:val="0"/>
              <w:spacing w:before="0" w:after="0"/>
              <w:ind w:left="0" w:right="0" w:hanging="0"/>
              <w:jc w:val="center"/>
              <w:rPr/>
            </w:pPr>
            <w:r>
              <w:rPr/>
              <w:t>​</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shd w:fill="FFFFFF" w:val="clear"/>
            <w:vAlign w:val="center"/>
          </w:tcPr>
          <w:p>
            <w:pPr>
              <w:pStyle w:val="TableContents"/>
              <w:bidi w:val="0"/>
              <w:spacing w:before="0" w:after="0"/>
              <w:ind w:left="0" w:right="0" w:hanging="0"/>
              <w:jc w:val="center"/>
              <w:rPr/>
            </w:pPr>
            <w:r>
              <w:rPr/>
              <w:t>  ​</w:t>
            </w:r>
          </w:p>
        </w:tc>
        <w:tc>
          <w:tcPr>
            <w:tcW w:w="39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11" w:type="dxa"/>
            <w:tcBorders/>
            <w:shd w:fill="FFFFFF" w:val="cle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shd w:fill="FFFFFF" w:val="clear"/>
            <w:vAlign w:val="center"/>
          </w:tcPr>
          <w:p>
            <w:pPr>
              <w:pStyle w:val="TableContents"/>
              <w:bidi w:val="0"/>
              <w:spacing w:before="0" w:after="0"/>
              <w:ind w:left="0" w:right="0" w:hanging="0"/>
              <w:jc w:val="center"/>
              <w:rPr/>
            </w:pPr>
            <w:r>
              <w:rPr/>
              <w:t>  ​</w:t>
            </w:r>
          </w:p>
        </w:tc>
        <w:tc>
          <w:tcPr>
            <w:tcW w:w="44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7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Direct research and development expense by product candidate</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pPr>
            <w:r>
              <w:rPr/>
              <w:t>​</w:t>
            </w:r>
          </w:p>
        </w:tc>
      </w:tr>
      <w:tr>
        <w:trPr/>
        <w:tc>
          <w:tcPr>
            <w:tcW w:w="2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TIL, including combination therapy</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pPr>
            <w:r>
              <w:rPr/>
              <w:t>​</w:t>
            </w:r>
          </w:p>
        </w:tc>
      </w:tr>
      <w:tr>
        <w:trPr/>
        <w:tc>
          <w:tcPr>
            <w:tcW w:w="2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Lifileucel monotherapy</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11,894</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22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(8,123)</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2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Combination Therapy</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22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2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Next Generation</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c>
          <w:tcPr>
            <w:tcW w:w="22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2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clinical, preclinical, and research programs under development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6,170</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22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257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Indirect research and development expense</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pPr>
            <w:r>
              <w:rPr/>
              <w:t>​</w:t>
            </w:r>
          </w:p>
        </w:tc>
      </w:tr>
      <w:tr>
        <w:trPr/>
        <w:tc>
          <w:tcPr>
            <w:tcW w:w="2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 related (excluding stock-based compensation)</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26,334</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22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54,355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2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5,078</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226" w:type="dxa"/>
            <w:tcBorders/>
            <w:shd w:fill="CCEEFF" w:val="clear"/>
            <w:vAlign w:val="center"/>
          </w:tcPr>
          <w:p>
            <w:pPr>
              <w:pStyle w:val="TableContents"/>
              <w:bidi w:val="0"/>
              <w:spacing w:before="0" w:after="0"/>
              <w:ind w:left="0" w:right="0" w:hanging="0"/>
              <w:jc w:val="right"/>
              <w:rPr/>
            </w:pPr>
            <w:r>
              <w:rPr/>
              <w:t>​</w:t>
            </w:r>
          </w:p>
        </w:tc>
        <w:tc>
          <w:tcPr>
            <w:tcW w:w="39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2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Contractors and outside services</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226" w:type="dxa"/>
            <w:tcBorders/>
            <w:vAlign w:val="center"/>
          </w:tcPr>
          <w:p>
            <w:pPr>
              <w:pStyle w:val="TableContents"/>
              <w:bidi w:val="0"/>
              <w:spacing w:before="0" w:after="0"/>
              <w:ind w:left="0" w:right="0" w:hanging="0"/>
              <w:jc w:val="right"/>
              <w:rPr/>
            </w:pPr>
            <w:r>
              <w:rPr/>
              <w:t>​</w:t>
            </w:r>
          </w:p>
        </w:tc>
        <w:tc>
          <w:tcPr>
            <w:tcW w:w="39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25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and facilities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5,159</w:t>
            </w:r>
          </w:p>
        </w:tc>
        <w:tc>
          <w:tcPr>
            <w:tcW w:w="109"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w:t>
            </w:r>
          </w:p>
        </w:tc>
        <w:tc>
          <w:tcPr>
            <w:tcW w:w="226" w:type="dxa"/>
            <w:tcBorders/>
            <w:shd w:fill="CCEEFF" w:val="clear"/>
            <w:vAlign w:val="center"/>
          </w:tcPr>
          <w:p>
            <w:pPr>
              <w:pStyle w:val="TableContents"/>
              <w:bidi w:val="0"/>
              <w:spacing w:before="0" w:after="0"/>
              <w:ind w:left="0" w:right="0" w:hanging="0"/>
              <w:jc w:val="righ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4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r>
      <w:tr>
        <w:trPr/>
        <w:tc>
          <w:tcPr>
            <w:tcW w:w="25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58,851</w:t>
            </w:r>
          </w:p>
        </w:tc>
        <w:tc>
          <w:tcPr>
            <w:tcW w:w="109" w:type="dxa"/>
            <w:tcBorders/>
            <w:vAlign w:val="center"/>
          </w:tcPr>
          <w:p>
            <w:pPr>
              <w:pStyle w:val="TableContents"/>
              <w:bidi w:val="0"/>
              <w:spacing w:before="0" w:after="0"/>
              <w:ind w:left="0" w:right="0" w:hanging="0"/>
              <w:jc w:val="left"/>
              <w:rPr>
                <w:color w:val="FF0000"/>
              </w:rPr>
            </w:pPr>
            <w:r>
              <w:rPr>
                <w:color w:val="FF000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77,928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(19,077)</w:t>
            </w:r>
          </w:p>
        </w:tc>
        <w:tc>
          <w:tcPr>
            <w:tcW w:w="226" w:type="dxa"/>
            <w:tcBorders/>
            <w:vAlign w:val="center"/>
          </w:tcPr>
          <w:p>
            <w:pPr>
              <w:pStyle w:val="TableContents"/>
              <w:bidi w:val="0"/>
              <w:spacing w:before="0" w:after="0"/>
              <w:ind w:left="0" w:right="0" w:hanging="0"/>
              <w:jc w:val="center"/>
              <w:rPr/>
            </w:pPr>
            <w:r>
              <w:rPr/>
              <w:t>​</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121,338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153,895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(32,557)</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44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Selling, general, and administrative expenses for the three months ended June 30, 2026 increased by $1.7 million, or 5%, compared to the same period in 2025. The increase was primarily attributable to (i) a $3.9 million increase in payroll and related expenses driven by an increase in the number of employees to support growth in the overall business. This increases was partially offset by and (i) a $1.3 million decrease in stock-based compensation expense primarily driven by a lower number of stock awards granted at lower average stock price, and (ii) a $0.9 million decrease in other costs, including costs associated with intellectual property legal costs, outside service costs, and software license costs related to our information technology infrastructure.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Selling, general, and administrative expenses for the six months ended June 30, 2026 decreased by $3.1 million, or 4%, compared to the same period in 2025. The decrease was primarily attributable to (i) a $6.8 million decrease in stock-based compensation expense primarily driven by a lower number of stock awards granted at lower average stock price, and (ii) a $2.2 million decrease in intellectual property legal costs. These decreases were partially offset by (i) a $4.6 million increase in payroll and related expenses driven by an increase in the number of employees to support growth in the overall business, (ii) a $1.0 million increase in costs incurred in support of the marketing, advertising, and market research in rest of world of Amtagvi</w:t>
      </w:r>
      <w:r>
        <w:rPr>
          <w:rFonts w:ascii="Times New Roman;Times;serif" w:hAnsi="Times New Roman;Times;serif"/>
          <w:sz w:val="15"/>
        </w:rPr>
        <w:t>®</w:t>
      </w:r>
      <w:r>
        <w:rPr>
          <w:rFonts w:ascii="Times New Roman;Times;serif" w:hAnsi="Times New Roman;Times;serif"/>
          <w:sz w:val="20"/>
        </w:rPr>
        <w:t xml:space="preserve">, and (iii) a $0.3 million increase in other costs, including travel, facility fees and licensing costs. </w:t>
      </w:r>
    </w:p>
    <w:p>
      <w:pPr>
        <w:pStyle w:val="TextBody"/>
        <w:bidi w:val="0"/>
        <w:spacing w:before="0" w:after="0"/>
        <w:ind w:left="0" w:right="0" w:firstLine="547"/>
        <w:jc w:val="left"/>
        <w:rPr>
          <w:rFonts w:ascii="Times New Roman;Times;serif" w:hAnsi="Times New Roman;Times;serif"/>
          <w:i/>
          <w:sz w:val="20"/>
        </w:rPr>
      </w:pPr>
      <w:r>
        <w:rPr>
          <w:rFonts w:ascii="Times New Roman;Times;serif" w:hAnsi="Times New Roman;Times;serif"/>
          <w:b/>
          <w:i/>
          <w:sz w:val="20"/>
        </w:rPr>
        <w:t>Depreciation and amortization</w:t>
        <w:br/>
      </w:r>
      <w:r>
        <w:rPr>
          <w:rFonts w:ascii="Times New Roman;Times;serif" w:hAnsi="Times New Roman;Times;serif"/>
          <w:i/>
          <w:sz w:val="20"/>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Depreciation and amortization expense for the three and six months ended June 30, 2026 increased by $0.2 million, or 2% and increased by $0.6 million, or 4%, compared to the same period in 2025. The increase was primarily driven by the expansion of our </w:t>
      </w:r>
      <w:r>
        <w:rPr>
          <w:rFonts w:ascii="Times New Roman;Times;serif" w:hAnsi="Times New Roman;Times;serif"/>
          <w:i/>
          <w:sz w:val="20"/>
        </w:rPr>
        <w:t>i</w:t>
      </w:r>
      <w:r>
        <w:rPr>
          <w:rFonts w:ascii="Times New Roman;Times;serif" w:hAnsi="Times New Roman;Times;serif"/>
          <w:sz w:val="20"/>
        </w:rPr>
        <w:t>CTC manufacturing facility.</w:t>
      </w:r>
    </w:p>
    <w:p>
      <w:pPr>
        <w:pStyle w:val="TextBody"/>
        <w:bidi w:val="0"/>
        <w:spacing w:before="0" w:after="200"/>
        <w:ind w:left="0" w:right="0" w:firstLine="547"/>
        <w:jc w:val="left"/>
        <w:rPr>
          <w:rFonts w:ascii="Times New Roman;Times;serif" w:hAnsi="Times New Roman;Times;serif"/>
          <w:b/>
          <w:sz w:val="20"/>
        </w:rPr>
      </w:pPr>
      <w:r>
        <w:rPr>
          <w:rFonts w:ascii="Times New Roman;Times;serif" w:hAnsi="Times New Roman;Times;serif"/>
          <w:b/>
          <w:sz w:val="20"/>
        </w:rPr>
        <w:t>Interest and other income, net</w:t>
      </w:r>
    </w:p>
    <w:tbl>
      <w:tblPr>
        <w:tblW w:w="10028" w:type="dxa"/>
        <w:jc w:val="left"/>
        <w:tblInd w:w="0" w:type="dxa"/>
        <w:tblLayout w:type="fixed"/>
        <w:tblCellMar>
          <w:top w:w="0" w:type="dxa"/>
          <w:left w:w="0" w:type="dxa"/>
          <w:bottom w:w="0" w:type="dxa"/>
          <w:right w:w="0" w:type="dxa"/>
        </w:tblCellMar>
      </w:tblPr>
      <w:tblGrid>
        <w:gridCol w:w="2521"/>
        <w:gridCol w:w="226"/>
        <w:gridCol w:w="211"/>
        <w:gridCol w:w="571"/>
        <w:gridCol w:w="226"/>
        <w:gridCol w:w="211"/>
        <w:gridCol w:w="571"/>
        <w:gridCol w:w="226"/>
        <w:gridCol w:w="211"/>
        <w:gridCol w:w="541"/>
        <w:gridCol w:w="226"/>
        <w:gridCol w:w="436"/>
        <w:gridCol w:w="226"/>
        <w:gridCol w:w="211"/>
        <w:gridCol w:w="571"/>
        <w:gridCol w:w="226"/>
        <w:gridCol w:w="211"/>
        <w:gridCol w:w="571"/>
        <w:gridCol w:w="226"/>
        <w:gridCol w:w="211"/>
        <w:gridCol w:w="691"/>
        <w:gridCol w:w="226"/>
        <w:gridCol w:w="481"/>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600835" cy="175260"/>
                      <wp:effectExtent l="0" t="0" r="0" b="0"/>
                      <wp:wrapNone/>
                      <wp:docPr id="380" name="Frame380"/>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43510" cy="175260"/>
                      <wp:effectExtent l="0" t="0" r="0" b="0"/>
                      <wp:wrapNone/>
                      <wp:docPr id="381" name="Frame38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62585" cy="175260"/>
                      <wp:effectExtent l="0" t="0" r="0" b="0"/>
                      <wp:wrapNone/>
                      <wp:docPr id="383" name="Frame3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43510" cy="175260"/>
                      <wp:effectExtent l="0" t="0" r="0" b="0"/>
                      <wp:wrapNone/>
                      <wp:docPr id="384" name="Frame3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62585" cy="175260"/>
                      <wp:effectExtent l="0" t="0" r="0" b="0"/>
                      <wp:wrapNone/>
                      <wp:docPr id="386" name="Frame38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43510" cy="175260"/>
                      <wp:effectExtent l="0" t="0" r="0" b="0"/>
                      <wp:wrapNone/>
                      <wp:docPr id="387" name="Frame3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43535" cy="175260"/>
                      <wp:effectExtent l="0" t="0" r="0" b="0"/>
                      <wp:wrapNone/>
                      <wp:docPr id="389" name="Frame38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43510" cy="175260"/>
                      <wp:effectExtent l="0" t="0" r="0" b="0"/>
                      <wp:wrapNone/>
                      <wp:docPr id="390" name="Frame39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76860" cy="175260"/>
                      <wp:effectExtent l="0" t="0" r="0" b="0"/>
                      <wp:wrapNone/>
                      <wp:docPr id="391" name="Frame39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3510" cy="175260"/>
                      <wp:effectExtent l="0" t="0" r="0" b="0"/>
                      <wp:wrapNone/>
                      <wp:docPr id="392" name="Frame39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62585" cy="175260"/>
                      <wp:effectExtent l="0" t="0" r="0" b="0"/>
                      <wp:wrapNone/>
                      <wp:docPr id="394" name="Frame39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3510" cy="175260"/>
                      <wp:effectExtent l="0" t="0" r="0" b="0"/>
                      <wp:wrapNone/>
                      <wp:docPr id="395" name="Frame39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2585" cy="175260"/>
                      <wp:effectExtent l="0" t="0" r="0" b="0"/>
                      <wp:wrapNone/>
                      <wp:docPr id="397" name="Frame3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3510" cy="175260"/>
                      <wp:effectExtent l="0" t="0" r="0" b="0"/>
                      <wp:wrapNone/>
                      <wp:docPr id="398" name="Frame3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38785" cy="175260"/>
                      <wp:effectExtent l="0" t="0" r="0" b="0"/>
                      <wp:wrapNone/>
                      <wp:docPr id="400" name="Frame4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3510" cy="175260"/>
                      <wp:effectExtent l="0" t="0" r="0" b="0"/>
                      <wp:wrapNone/>
                      <wp:docPr id="401" name="Frame4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05435" cy="175260"/>
                      <wp:effectExtent l="0" t="0" r="0" b="0"/>
                      <wp:wrapNone/>
                      <wp:docPr id="402" name="Frame40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7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center"/>
              <w:rPr/>
            </w:pPr>
            <w:r>
              <w:rPr/>
              <w:t>​</w:t>
            </w:r>
          </w:p>
        </w:tc>
        <w:tc>
          <w:tcPr>
            <w:tcW w:w="141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26" w:type="dxa"/>
            <w:tcBorders/>
            <w:vAlign w:val="center"/>
          </w:tcPr>
          <w:p>
            <w:pPr>
              <w:pStyle w:val="TableContents"/>
              <w:bidi w:val="0"/>
              <w:spacing w:before="0" w:after="0"/>
              <w:ind w:left="0" w:right="0" w:hanging="0"/>
              <w:jc w:val="center"/>
              <w:rPr/>
            </w:pPr>
            <w:r>
              <w:rPr/>
              <w:t> </w:t>
            </w:r>
          </w:p>
        </w:tc>
        <w:tc>
          <w:tcPr>
            <w:tcW w:w="17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6" w:type="dxa"/>
            <w:tcBorders/>
            <w:vAlign w:val="center"/>
          </w:tcPr>
          <w:p>
            <w:pPr>
              <w:pStyle w:val="TableContents"/>
              <w:bidi w:val="0"/>
              <w:spacing w:before="0" w:after="0"/>
              <w:ind w:left="0" w:right="0" w:hanging="0"/>
              <w:jc w:val="center"/>
              <w:rPr/>
            </w:pPr>
            <w:r>
              <w:rPr/>
              <w:t>​</w:t>
            </w:r>
          </w:p>
        </w:tc>
        <w:tc>
          <w:tcPr>
            <w:tcW w:w="160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252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4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26" w:type="dxa"/>
            <w:tcBorders/>
            <w:vAlign w:val="center"/>
          </w:tcPr>
          <w:p>
            <w:pPr>
              <w:pStyle w:val="TableContents"/>
              <w:bidi w:val="0"/>
              <w:spacing w:before="0" w:after="0"/>
              <w:ind w:left="0" w:right="0" w:hanging="0"/>
              <w:jc w:val="center"/>
              <w:rPr/>
            </w:pPr>
            <w:r>
              <w:rPr/>
              <w:t>​</w:t>
            </w:r>
          </w:p>
        </w:tc>
        <w:tc>
          <w:tcPr>
            <w:tcW w:w="17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6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3,217</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c>
          <w:tcPr>
            <w:tcW w:w="2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7,324</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w:t>
            </w:r>
          </w:p>
        </w:tc>
        <w:tc>
          <w:tcPr>
            <w:tcW w:w="226" w:type="dxa"/>
            <w:tcBorders/>
            <w:shd w:fill="CCEEFF" w:val="clear"/>
            <w:vAlign w:val="center"/>
          </w:tcPr>
          <w:p>
            <w:pPr>
              <w:pStyle w:val="TableContents"/>
              <w:bidi w:val="0"/>
              <w:spacing w:before="0" w:after="0"/>
              <w:ind w:left="0" w:right="0" w:hanging="0"/>
              <w:jc w:val="righ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Interest and other income, net for the three months ended June 30, 2026 decreased by $0.9 million, or 22%, compared to the same period in 2025. The decrease was primarily driven by a decrease in average investment balances and slightly lower rate of return on our investments.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Interest and other income, net for the six months ended June 30, 2026 decreased by $2.8 million, or 38%, compared to the same period in 2025. The decrease was primarily driven by a decrease in average investment balances and slightly lower rate of return on our investments.</w:t>
      </w:r>
    </w:p>
    <w:p>
      <w:pPr>
        <w:pStyle w:val="TextBody"/>
        <w:bidi w:val="0"/>
        <w:spacing w:before="0" w:after="200"/>
        <w:ind w:left="0" w:right="0" w:firstLine="547"/>
        <w:jc w:val="left"/>
        <w:rPr>
          <w:rFonts w:ascii="Times New Roman;Times;serif" w:hAnsi="Times New Roman;Times;serif"/>
          <w:b/>
          <w:sz w:val="20"/>
        </w:rPr>
      </w:pPr>
      <w:r>
        <w:rPr>
          <w:rFonts w:ascii="Times New Roman;Times;serif" w:hAnsi="Times New Roman;Times;serif"/>
          <w:b/>
          <w:sz w:val="20"/>
        </w:rPr>
        <w:t xml:space="preserve">Income tax benefit (expense) </w:t>
      </w:r>
    </w:p>
    <w:tbl>
      <w:tblPr>
        <w:tblW w:w="10205" w:type="dxa"/>
        <w:jc w:val="left"/>
        <w:tblInd w:w="0" w:type="dxa"/>
        <w:tblLayout w:type="fixed"/>
        <w:tblCellMar>
          <w:top w:w="0" w:type="dxa"/>
          <w:left w:w="0" w:type="dxa"/>
          <w:bottom w:w="0" w:type="dxa"/>
          <w:right w:w="0" w:type="dxa"/>
        </w:tblCellMar>
      </w:tblPr>
      <w:tblGrid>
        <w:gridCol w:w="2354"/>
        <w:gridCol w:w="226"/>
        <w:gridCol w:w="211"/>
        <w:gridCol w:w="571"/>
        <w:gridCol w:w="226"/>
        <w:gridCol w:w="211"/>
        <w:gridCol w:w="686"/>
        <w:gridCol w:w="226"/>
        <w:gridCol w:w="211"/>
        <w:gridCol w:w="571"/>
        <w:gridCol w:w="226"/>
        <w:gridCol w:w="536"/>
        <w:gridCol w:w="226"/>
        <w:gridCol w:w="211"/>
        <w:gridCol w:w="571"/>
        <w:gridCol w:w="226"/>
        <w:gridCol w:w="211"/>
        <w:gridCol w:w="536"/>
        <w:gridCol w:w="226"/>
        <w:gridCol w:w="211"/>
        <w:gridCol w:w="571"/>
        <w:gridCol w:w="226"/>
        <w:gridCol w:w="735"/>
      </w:tblGrid>
      <w:tr>
        <w:trPr/>
        <w:tc>
          <w:tcPr>
            <w:tcW w:w="2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494790" cy="175260"/>
                      <wp:effectExtent l="0" t="0" r="0" b="0"/>
                      <wp:wrapNone/>
                      <wp:docPr id="403" name="Frame403"/>
                      <a:graphic xmlns:a="http://schemas.openxmlformats.org/drawingml/2006/main">
                        <a:graphicData uri="http://schemas.microsoft.com/office/word/2010/wordprocessingShape">
                          <wps:wsp>
                            <wps:cNvSpPr txBox="1"/>
                            <wps:spPr>
                              <a:xfrm>
                                <a:off x="0" y="0"/>
                                <a:ext cx="149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3510" cy="175260"/>
                      <wp:effectExtent l="0" t="0" r="0" b="0"/>
                      <wp:wrapNone/>
                      <wp:docPr id="404" name="Frame40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62585" cy="175260"/>
                      <wp:effectExtent l="0" t="0" r="0" b="0"/>
                      <wp:wrapNone/>
                      <wp:docPr id="406" name="Frame4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43510" cy="175260"/>
                      <wp:effectExtent l="0" t="0" r="0" b="0"/>
                      <wp:wrapNone/>
                      <wp:docPr id="407" name="Frame4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35610" cy="175260"/>
                      <wp:effectExtent l="0" t="0" r="0" b="0"/>
                      <wp:wrapNone/>
                      <wp:docPr id="409" name="Frame40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43510" cy="175260"/>
                      <wp:effectExtent l="0" t="0" r="0" b="0"/>
                      <wp:wrapNone/>
                      <wp:docPr id="410" name="Frame4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62585" cy="175260"/>
                      <wp:effectExtent l="0" t="0" r="0" b="0"/>
                      <wp:wrapNone/>
                      <wp:docPr id="412" name="Frame4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43510" cy="175260"/>
                      <wp:effectExtent l="0" t="0" r="0" b="0"/>
                      <wp:wrapNone/>
                      <wp:docPr id="413" name="Frame4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40360" cy="175260"/>
                      <wp:effectExtent l="0" t="0" r="0" b="0"/>
                      <wp:wrapNone/>
                      <wp:docPr id="414" name="Frame414"/>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43510" cy="175260"/>
                      <wp:effectExtent l="0" t="0" r="0" b="0"/>
                      <wp:wrapNone/>
                      <wp:docPr id="415" name="Frame4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62585" cy="175260"/>
                      <wp:effectExtent l="0" t="0" r="0" b="0"/>
                      <wp:wrapNone/>
                      <wp:docPr id="417" name="Frame4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43510" cy="175260"/>
                      <wp:effectExtent l="0" t="0" r="0" b="0"/>
                      <wp:wrapNone/>
                      <wp:docPr id="418" name="Frame4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40360" cy="175260"/>
                      <wp:effectExtent l="0" t="0" r="0" b="0"/>
                      <wp:wrapNone/>
                      <wp:docPr id="420" name="Frame420"/>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3510" cy="175260"/>
                      <wp:effectExtent l="0" t="0" r="0" b="0"/>
                      <wp:wrapNone/>
                      <wp:docPr id="421" name="Frame4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62585" cy="175260"/>
                      <wp:effectExtent l="0" t="0" r="0" b="0"/>
                      <wp:wrapNone/>
                      <wp:docPr id="423" name="Frame4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3510" cy="175260"/>
                      <wp:effectExtent l="0" t="0" r="0" b="0"/>
                      <wp:wrapNone/>
                      <wp:docPr id="424" name="Frame4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66725" cy="175260"/>
                      <wp:effectExtent l="0" t="0" r="0" b="0"/>
                      <wp:wrapNone/>
                      <wp:docPr id="425" name="Frame425"/>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9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center"/>
              <w:rPr/>
            </w:pPr>
            <w:r>
              <w:rPr/>
              <w:t>​</w:t>
            </w:r>
          </w:p>
        </w:tc>
        <w:tc>
          <w:tcPr>
            <w:tcW w:w="15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c>
          <w:tcPr>
            <w:tcW w:w="226" w:type="dxa"/>
            <w:tcBorders/>
            <w:vAlign w:val="center"/>
          </w:tcPr>
          <w:p>
            <w:pPr>
              <w:pStyle w:val="TableContents"/>
              <w:bidi w:val="0"/>
              <w:spacing w:before="0" w:after="0"/>
              <w:ind w:left="0" w:right="0" w:hanging="0"/>
              <w:jc w:val="center"/>
              <w:rPr/>
            </w:pPr>
            <w:r>
              <w:rPr/>
              <w:t> </w:t>
            </w:r>
          </w:p>
        </w:tc>
        <w:tc>
          <w:tcPr>
            <w:tcW w:w="17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6" w:type="dxa"/>
            <w:tcBorders/>
            <w:vAlign w:val="center"/>
          </w:tcPr>
          <w:p>
            <w:pPr>
              <w:pStyle w:val="TableContents"/>
              <w:bidi w:val="0"/>
              <w:spacing w:before="0" w:after="0"/>
              <w:ind w:left="0" w:right="0" w:hanging="0"/>
              <w:jc w:val="center"/>
              <w:rPr/>
            </w:pPr>
            <w:r>
              <w:rPr/>
              <w:t>​</w:t>
            </w:r>
          </w:p>
        </w:tc>
        <w:tc>
          <w:tcPr>
            <w:tcW w:w="174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2354"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9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26" w:type="dxa"/>
            <w:tcBorders/>
            <w:vAlign w:val="center"/>
          </w:tcPr>
          <w:p>
            <w:pPr>
              <w:pStyle w:val="TableContents"/>
              <w:bidi w:val="0"/>
              <w:spacing w:before="0" w:after="0"/>
              <w:ind w:left="0" w:right="0" w:hanging="0"/>
              <w:jc w:val="center"/>
              <w:rPr/>
            </w:pPr>
            <w:r>
              <w:rPr/>
              <w:t>​</w:t>
            </w:r>
          </w:p>
        </w:tc>
        <w:tc>
          <w:tcPr>
            <w:tcW w:w="17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7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23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5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w:t>
            </w:r>
          </w:p>
        </w:tc>
        <w:tc>
          <w:tcPr>
            <w:tcW w:w="226" w:type="dxa"/>
            <w:tcBorders/>
            <w:shd w:fill="CCEEFF" w:val="clear"/>
            <w:vAlign w:val="center"/>
          </w:tcPr>
          <w:p>
            <w:pPr>
              <w:pStyle w:val="TableContents"/>
              <w:bidi w:val="0"/>
              <w:spacing w:before="0" w:after="0"/>
              <w:ind w:left="0" w:right="0" w:hanging="0"/>
              <w:jc w:val="right"/>
              <w:rPr/>
            </w:pPr>
            <w:r>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226" w:type="dxa"/>
            <w:tcBorders/>
            <w:shd w:fill="CCEEFF" w:val="clear"/>
            <w:vAlign w:val="center"/>
          </w:tcPr>
          <w:p>
            <w:pPr>
              <w:pStyle w:val="TableContents"/>
              <w:bidi w:val="0"/>
              <w:spacing w:before="0" w:after="0"/>
              <w:ind w:left="0" w:right="0" w:hanging="0"/>
              <w:jc w:val="right"/>
              <w:rPr/>
            </w:pPr>
            <w:r>
              <w:rPr/>
              <w:t>​</w:t>
            </w:r>
          </w:p>
        </w:tc>
        <w:tc>
          <w:tcPr>
            <w:tcW w:w="7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w:t>
            </w:r>
          </w:p>
        </w:tc>
      </w:tr>
    </w:tbl>
    <w:p>
      <w:pPr>
        <w:pStyle w:val="TextBody"/>
        <w:bidi w:val="0"/>
        <w:spacing w:before="0" w:after="0"/>
        <w:ind w:left="0" w:right="0" w:hanging="0"/>
        <w:jc w:val="left"/>
        <w:rPr/>
      </w:pPr>
      <w:r>
        <w:rPr/>
        <w:t>​</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Income tax benefit for the three and six months ended June 30, 2026 increased by $3.4 million, or 169%, and $2.2 million, or 1459%, respectively, compared to the same periods in 2025. The increase was primarily driven by the mix of income across jurisdictions that with varying effective tax rates and an adjustment in the prior year in transfer pricing, true-up to tax attributes and deductions associated with the Proleukin</w:t>
      </w:r>
      <w:r>
        <w:rPr>
          <w:rFonts w:ascii="Times New Roman;Times;serif" w:hAnsi="Times New Roman;Times;serif"/>
          <w:sz w:val="15"/>
        </w:rPr>
        <w:t>®</w:t>
      </w:r>
      <w:r>
        <w:rPr>
          <w:rFonts w:ascii="Times New Roman;Times;serif" w:hAnsi="Times New Roman;Times;serif"/>
          <w:sz w:val="20"/>
        </w:rPr>
        <w:t xml:space="preserve"> business in the U.K.</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b/>
          <w:sz w:val="20"/>
        </w:rPr>
      </w:pPr>
      <w:r>
        <w:rPr>
          <w:rFonts w:ascii="Times New Roman;Times;serif" w:hAnsi="Times New Roman;Times;serif"/>
          <w:b/>
          <w:sz w:val="20"/>
        </w:rPr>
        <w:t xml:space="preserve">Net loss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70"/>
        <w:gridCol w:w="226"/>
        <w:gridCol w:w="211"/>
        <w:gridCol w:w="776"/>
        <w:gridCol w:w="226"/>
        <w:gridCol w:w="211"/>
        <w:gridCol w:w="881"/>
        <w:gridCol w:w="226"/>
        <w:gridCol w:w="211"/>
        <w:gridCol w:w="776"/>
        <w:gridCol w:w="226"/>
        <w:gridCol w:w="416"/>
        <w:gridCol w:w="226"/>
        <w:gridCol w:w="211"/>
        <w:gridCol w:w="881"/>
        <w:gridCol w:w="226"/>
        <w:gridCol w:w="211"/>
        <w:gridCol w:w="881"/>
        <w:gridCol w:w="226"/>
        <w:gridCol w:w="211"/>
        <w:gridCol w:w="881"/>
        <w:gridCol w:w="226"/>
        <w:gridCol w:w="469"/>
      </w:tblGrid>
      <w:tr>
        <w:trPr/>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742950" cy="175260"/>
                      <wp:effectExtent l="0" t="0" r="0" b="0"/>
                      <wp:wrapNone/>
                      <wp:docPr id="426" name="Frame426"/>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43510" cy="175260"/>
                      <wp:effectExtent l="0" t="0" r="0" b="0"/>
                      <wp:wrapNone/>
                      <wp:docPr id="427" name="Frame4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92760" cy="175260"/>
                      <wp:effectExtent l="0" t="0" r="0" b="0"/>
                      <wp:wrapNone/>
                      <wp:docPr id="429" name="Frame429"/>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43510" cy="175260"/>
                      <wp:effectExtent l="0" t="0" r="0" b="0"/>
                      <wp:wrapNone/>
                      <wp:docPr id="430" name="Frame4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59435" cy="175260"/>
                      <wp:effectExtent l="0" t="0" r="0" b="0"/>
                      <wp:wrapNone/>
                      <wp:docPr id="432" name="Frame432"/>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43510" cy="175260"/>
                      <wp:effectExtent l="0" t="0" r="0" b="0"/>
                      <wp:wrapNone/>
                      <wp:docPr id="433" name="Frame4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2760" cy="175260"/>
                      <wp:effectExtent l="0" t="0" r="0" b="0"/>
                      <wp:wrapNone/>
                      <wp:docPr id="435" name="Frame435"/>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43510" cy="175260"/>
                      <wp:effectExtent l="0" t="0" r="0" b="0"/>
                      <wp:wrapNone/>
                      <wp:docPr id="436" name="Frame4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64160" cy="175260"/>
                      <wp:effectExtent l="0" t="0" r="0" b="0"/>
                      <wp:wrapNone/>
                      <wp:docPr id="437" name="Frame43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3510" cy="175260"/>
                      <wp:effectExtent l="0" t="0" r="0" b="0"/>
                      <wp:wrapNone/>
                      <wp:docPr id="438" name="Frame4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59435" cy="175260"/>
                      <wp:effectExtent l="0" t="0" r="0" b="0"/>
                      <wp:wrapNone/>
                      <wp:docPr id="440" name="Frame440"/>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43510" cy="175260"/>
                      <wp:effectExtent l="0" t="0" r="0" b="0"/>
                      <wp:wrapNone/>
                      <wp:docPr id="441" name="Frame4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59435" cy="175260"/>
                      <wp:effectExtent l="0" t="0" r="0" b="0"/>
                      <wp:wrapNone/>
                      <wp:docPr id="443" name="Frame443"/>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43510" cy="175260"/>
                      <wp:effectExtent l="0" t="0" r="0" b="0"/>
                      <wp:wrapNone/>
                      <wp:docPr id="444" name="Frame4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33985" cy="175260"/>
                      <wp:effectExtent l="0" t="0" r="0" b="0"/>
                      <wp:wrapNone/>
                      <wp:docPr id="445"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59435" cy="175260"/>
                      <wp:effectExtent l="0" t="0" r="0" b="0"/>
                      <wp:wrapNone/>
                      <wp:docPr id="446" name="Frame446"/>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43510" cy="175260"/>
                      <wp:effectExtent l="0" t="0" r="0" b="0"/>
                      <wp:wrapNone/>
                      <wp:docPr id="447" name="Frame4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97815" cy="175260"/>
                      <wp:effectExtent l="0" t="0" r="0" b="0"/>
                      <wp:wrapNone/>
                      <wp:docPr id="448" name="Frame448"/>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3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26" w:type="dxa"/>
            <w:tcBorders/>
            <w:vAlign w:val="center"/>
          </w:tcPr>
          <w:p>
            <w:pPr>
              <w:pStyle w:val="TableContents"/>
              <w:bidi w:val="0"/>
              <w:spacing w:before="0" w:after="0"/>
              <w:ind w:left="0" w:right="0" w:hanging="0"/>
              <w:jc w:val="center"/>
              <w:rPr/>
            </w:pPr>
            <w:r>
              <w:rPr/>
              <w:t>​</w:t>
            </w:r>
          </w:p>
        </w:tc>
        <w:tc>
          <w:tcPr>
            <w:tcW w:w="162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226" w:type="dxa"/>
            <w:tcBorders/>
            <w:vAlign w:val="center"/>
          </w:tcPr>
          <w:p>
            <w:pPr>
              <w:pStyle w:val="TableContents"/>
              <w:bidi w:val="0"/>
              <w:spacing w:before="0" w:after="0"/>
              <w:ind w:left="0" w:right="0" w:hanging="0"/>
              <w:jc w:val="center"/>
              <w:rPr/>
            </w:pPr>
            <w:r>
              <w:rPr/>
              <w:t> </w:t>
            </w:r>
          </w:p>
        </w:tc>
        <w:tc>
          <w:tcPr>
            <w:tcW w:w="24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6" w:type="dxa"/>
            <w:tcBorders/>
            <w:vAlign w:val="center"/>
          </w:tcPr>
          <w:p>
            <w:pPr>
              <w:pStyle w:val="TableContents"/>
              <w:bidi w:val="0"/>
              <w:spacing w:before="0" w:after="0"/>
              <w:ind w:left="0" w:right="0" w:hanging="0"/>
              <w:jc w:val="center"/>
              <w:rPr/>
            </w:pPr>
            <w:r>
              <w:rPr/>
              <w:t>​</w:t>
            </w:r>
          </w:p>
        </w:tc>
        <w:tc>
          <w:tcPr>
            <w:tcW w:w="1787"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w:t>
            </w:r>
          </w:p>
        </w:tc>
      </w:tr>
      <w:tr>
        <w:trPr/>
        <w:tc>
          <w:tcPr>
            <w:tcW w:w="1170"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3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6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226" w:type="dxa"/>
            <w:tcBorders/>
            <w:vAlign w:val="center"/>
          </w:tcPr>
          <w:p>
            <w:pPr>
              <w:pStyle w:val="TableContents"/>
              <w:bidi w:val="0"/>
              <w:spacing w:before="0" w:after="0"/>
              <w:ind w:left="0" w:right="0" w:hanging="0"/>
              <w:jc w:val="center"/>
              <w:rPr/>
            </w:pPr>
            <w:r>
              <w:rPr/>
              <w:t>​</w:t>
            </w:r>
          </w:p>
        </w:tc>
        <w:tc>
          <w:tcPr>
            <w:tcW w:w="24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before="0" w:after="0"/>
              <w:ind w:left="0" w:right="0" w:hanging="0"/>
              <w:jc w:val="center"/>
              <w:rPr/>
            </w:pPr>
            <w:r>
              <w:rPr/>
              <w:t>​</w:t>
            </w:r>
          </w:p>
        </w:tc>
        <w:tc>
          <w:tcPr>
            <w:tcW w:w="17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11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26" w:type="dxa"/>
            <w:tcBorders/>
            <w:vAlign w:val="center"/>
          </w:tcPr>
          <w:p>
            <w:pPr>
              <w:pStyle w:val="TableContents"/>
              <w:bidi w:val="0"/>
              <w:spacing w:before="0" w:after="0"/>
              <w:ind w:left="0" w:right="0" w:hanging="0"/>
              <w:jc w:val="center"/>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before="0" w:after="0"/>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vAlign w:val="center"/>
          </w:tcPr>
          <w:p>
            <w:pPr>
              <w:pStyle w:val="TableContents"/>
              <w:bidi w:val="0"/>
              <w:spacing w:before="0" w:after="0"/>
              <w:ind w:left="0" w:right="0" w:hanging="0"/>
              <w:jc w:val="center"/>
              <w:rPr/>
            </w:pPr>
            <w:r>
              <w:rPr/>
              <w:t>  ​</w:t>
            </w:r>
          </w:p>
        </w:tc>
        <w:tc>
          <w:tcPr>
            <w:tcW w:w="10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26" w:type="dxa"/>
            <w:tcBorders/>
            <w:vAlign w:val="center"/>
          </w:tcPr>
          <w:p>
            <w:pPr>
              <w:pStyle w:val="TableContents"/>
              <w:bidi w:val="0"/>
              <w:spacing w:before="0" w:after="0"/>
              <w:ind w:left="0" w:right="0" w:hanging="0"/>
              <w:jc w:val="center"/>
              <w:rPr/>
            </w:pPr>
            <w:r>
              <w:rPr/>
              <w:t>  ​</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1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(47,315)</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(111,658)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(64,343)</w:t>
            </w:r>
          </w:p>
        </w:tc>
        <w:tc>
          <w:tcPr>
            <w:tcW w:w="226" w:type="dxa"/>
            <w:tcBorders/>
            <w:shd w:fill="CCEEFF" w:val="clear"/>
            <w:vAlign w:val="center"/>
          </w:tcPr>
          <w:p>
            <w:pPr>
              <w:pStyle w:val="TableContents"/>
              <w:bidi w:val="0"/>
              <w:spacing w:before="0" w:after="0"/>
              <w:ind w:left="0" w:right="0" w:hanging="0"/>
              <w:jc w:val="right"/>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(126,360)</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(227,821)</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(101,461)</w:t>
            </w:r>
          </w:p>
        </w:tc>
        <w:tc>
          <w:tcPr>
            <w:tcW w:w="226" w:type="dxa"/>
            <w:tcBorders/>
            <w:shd w:fill="CCEEFF" w:val="clear"/>
            <w:vAlign w:val="center"/>
          </w:tcPr>
          <w:p>
            <w:pPr>
              <w:pStyle w:val="TableContents"/>
              <w:bidi w:val="0"/>
              <w:spacing w:before="0" w:after="0"/>
              <w:ind w:left="0" w:right="0" w:hanging="0"/>
              <w:jc w:val="righ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Net loss for the three and six months ended June 30, 2026 decreased by $64.3 million, or 58%, and $101.5 million, or 45%, compared to the same periods in 2025. The decrease in our net loss is primarily due to the increase in sales of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products. We anticipate that we will continue to incur net losses in the future as we further invest in our clinical and internal research and development programs, as well as ongoing execution of the launch of Amtagvi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As of June 30, 2026, we had $303.7 million in cash, cash equivalents, short-term investments, and restricted cash ($110.8 million of cash and cash equivalents, $186.9 million in short-term investments, and $6.0 million in restricted cash). We have incurred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approval of our BLA, we expect to continue to generate revenue from the sale of our first internally developed product, Amtagvi</w:t>
      </w:r>
      <w:r>
        <w:rPr>
          <w:rFonts w:ascii="Times New Roman;Times;serif" w:hAnsi="Times New Roman;Times;serif"/>
          <w:sz w:val="15"/>
        </w:rPr>
        <w:t>®</w:t>
      </w:r>
      <w:r>
        <w:rPr>
          <w:rFonts w:ascii="Times New Roman;Times;serif" w:hAnsi="Times New Roman;Times;serif"/>
          <w:sz w:val="20"/>
        </w:rPr>
        <w:t>. Furthermore, as Proleukin</w:t>
      </w:r>
      <w:r>
        <w:rPr>
          <w:rFonts w:ascii="Times New Roman;Times;serif" w:hAnsi="Times New Roman;Times;serif"/>
          <w:sz w:val="15"/>
        </w:rPr>
        <w:t xml:space="preserve">® </w:t>
      </w:r>
      <w:r>
        <w:rPr>
          <w:rFonts w:ascii="Times New Roman;Times;serif" w:hAnsi="Times New Roman;Times;serif"/>
          <w:sz w:val="20"/>
        </w:rPr>
        <w:t>inventory that was previously with distributors in the U.S. market at the time of the acquisition of the worldwide rights to Proleukin</w:t>
      </w:r>
      <w:r>
        <w:rPr>
          <w:rFonts w:ascii="Times New Roman;Times;serif" w:hAnsi="Times New Roman;Times;serif"/>
          <w:sz w:val="15"/>
        </w:rPr>
        <w:t xml:space="preserve">® </w:t>
      </w:r>
      <w:r>
        <w:rPr>
          <w:rFonts w:ascii="Times New Roman;Times;serif" w:hAnsi="Times New Roman;Times;serif"/>
          <w:sz w:val="20"/>
        </w:rPr>
        <w:t>in May 2023 has been substantially depleted, we also began to sell Proleukin</w:t>
      </w:r>
      <w:r>
        <w:rPr>
          <w:rFonts w:ascii="Times New Roman;Times;serif" w:hAnsi="Times New Roman;Times;serif"/>
          <w:sz w:val="15"/>
        </w:rPr>
        <w:t xml:space="preserve">® </w:t>
      </w:r>
      <w:r>
        <w:rPr>
          <w:rFonts w:ascii="Times New Roman;Times;serif" w:hAnsi="Times New Roman;Times;serif"/>
          <w:sz w:val="20"/>
        </w:rPr>
        <w:t>into the U.S. market, where product margins are substantially higher than in other markets, to support ongoing and anticipated infusions related to the continued strong commercial launch of Amtagvi</w:t>
      </w:r>
      <w:r>
        <w:rPr>
          <w:rFonts w:ascii="Times New Roman;Times;serif" w:hAnsi="Times New Roman;Times;serif"/>
          <w:sz w:val="15"/>
        </w:rPr>
        <w:t>®</w:t>
      </w:r>
      <w:r>
        <w:rPr>
          <w:rFonts w:ascii="Times New Roman;Times;serif" w:hAnsi="Times New Roman;Times;serif"/>
          <w:sz w:val="20"/>
        </w:rPr>
        <w:t>. However, such revenues for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may not be material enough to generate positive operational cash flows during the 12 months from the date the condensed consolidated financial statements are issued and this Quarterly Report on Form 10-Q is filed.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We expect to continue to incur significant expenses to support our ongoing execution of the commercial launch of Amtagvi</w:t>
      </w:r>
      <w:r>
        <w:rPr>
          <w:rFonts w:ascii="Times New Roman;Times;serif" w:hAnsi="Times New Roman;Times;serif"/>
          <w:sz w:val="15"/>
        </w:rPr>
        <w:t>®</w:t>
      </w:r>
      <w:r>
        <w:rPr>
          <w:rFonts w:ascii="Times New Roman;Times;serif" w:hAnsi="Times New Roman;Times;serif"/>
          <w:sz w:val="20"/>
        </w:rPr>
        <w:t xml:space="preserve">, fund ongoing clinical programs, including our NSCLC registrational study, IOV-LUN-202, and our frontline advanced melanoma Phase 3 confirmatory trial, TILVANCE-301, continue the development of our pipeline candidates, and for other general corporate purposes. Based on the funds we have available as of the date our condensed consolidated financial statements for the three and six months ended June 30, 2026 are issued, we believe that we have sufficient capital to fund our anticipated operating expenses and capital expenditures as planned for at least the twelve months following the issuance of our condensed consolidated financial statements included in this Quarterly Report on Form 10-Q.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Corporate Capitalization </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As of June 30, 2026, we had outstanding 452,971,016 shares of our $0.000041666 par value common stock, 194 shares of our $0.001 par value Series A Convertible Preferred Stock, and 1,932,667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1,932,667 shares of our common stock. The shares of Series A Convertible Preferred Stock and Series B Convertible Preferred Stock do not have voting rights or accrue dividends.</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 xml:space="preserve">On August 22, 2025, we entered into an Amended and Restated Open Market Sale Agreement, or the 2025 Sale Agreement, with Jefferies with respect to an “at the market” offering program. Under the terms of the 2025 Sale Agreement, we may, from time to time, in our sole discretion, issue and sell up to $350.0 million of shares of our common stock pursuant to the “at the market” offering program. The 2025 Sale Agreement superseded and replaced in its entirety the 2023 Sale Agreement. The issuance and sale, if any, of shares of our common stock under the Sale Agreement was or will be made pursuant to a prospectus supplement dated August 22, 2025 to our Registration Statement on Form S-3ASR, which became effective immediately upon filing with the SEC on June 16, 2023, or the Registration Statement. </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 xml:space="preserve">For the quarter ended June 30, 2026, we received $49.6 million in proceeds, net of offering costs, through the sale of 14,000,743 shares of our common stock under the 2025 Sale Agreement. </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In the future, we may periodically offer one or more of these securities in amounts, prices and terms to be announced when and if the securities are offered. If any of the securities covered by the Registration Statement are offered for sale, a prospectus supplement will be prepared and filed with the SEC containing specific information about the terms of such offering at that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summarizes our cash flows from operating, investing and financing activities for the periods indicated (in thousands):</w:t>
      </w:r>
    </w:p>
    <w:p>
      <w:pPr>
        <w:pStyle w:val="TextBody"/>
        <w:bidi w:val="0"/>
        <w:spacing w:before="0" w:after="0"/>
        <w:ind w:left="0" w:right="0" w:firstLine="540"/>
        <w:jc w:val="left"/>
        <w:rPr/>
      </w:pPr>
      <w:r>
        <w:rPr/>
        <w:t>​</w:t>
      </w:r>
    </w:p>
    <w:tbl>
      <w:tblPr>
        <w:tblW w:w="8632" w:type="dxa"/>
        <w:jc w:val="left"/>
        <w:tblInd w:w="0" w:type="dxa"/>
        <w:tblLayout w:type="fixed"/>
        <w:tblCellMar>
          <w:top w:w="0" w:type="dxa"/>
          <w:left w:w="0" w:type="dxa"/>
          <w:bottom w:w="0" w:type="dxa"/>
          <w:right w:w="0" w:type="dxa"/>
        </w:tblCellMar>
      </w:tblPr>
      <w:tblGrid>
        <w:gridCol w:w="5671"/>
        <w:gridCol w:w="346"/>
        <w:gridCol w:w="211"/>
        <w:gridCol w:w="901"/>
        <w:gridCol w:w="346"/>
        <w:gridCol w:w="211"/>
        <w:gridCol w:w="94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601085" cy="175260"/>
                      <wp:effectExtent l="0" t="0" r="0" b="0"/>
                      <wp:wrapNone/>
                      <wp:docPr id="449" name="Frame449"/>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3985" cy="175260"/>
                      <wp:effectExtent l="0" t="0" r="0" b="0"/>
                      <wp:wrapNone/>
                      <wp:docPr id="451" name="Frame4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572135" cy="175260"/>
                      <wp:effectExtent l="0" t="0" r="0" b="0"/>
                      <wp:wrapNone/>
                      <wp:docPr id="452" name="Frame45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00710" cy="175260"/>
                      <wp:effectExtent l="0" t="0" r="0" b="0"/>
                      <wp:wrapNone/>
                      <wp:docPr id="455" name="Frame45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6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6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(132,915)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(171,141)</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29,709</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156,545</w:t>
            </w:r>
          </w:p>
        </w:tc>
      </w:tr>
      <w:tr>
        <w:trPr/>
        <w:tc>
          <w:tcPr>
            <w:tcW w:w="56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15,113</w:t>
            </w:r>
          </w:p>
        </w:tc>
      </w:tr>
      <w:tr>
        <w:trPr/>
        <w:tc>
          <w:tcPr>
            <w:tcW w:w="5671"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 Excludes effect of exchange rate changes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r>
    </w:tbl>
    <w:p>
      <w:pPr>
        <w:pStyle w:val="TextBody"/>
        <w:bidi w:val="0"/>
        <w:spacing w:before="0" w:after="200"/>
        <w:ind w:left="547" w:right="0" w:hanging="0"/>
        <w:jc w:val="left"/>
        <w:rPr/>
      </w:pPr>
      <w:r>
        <w:rPr/>
        <w:t>​</w:t>
      </w:r>
      <w:r>
        <w:rPr>
          <w:rFonts w:ascii="Times New Roman;Times;serif" w:hAnsi="Times New Roman;Times;serif"/>
          <w:i/>
          <w:sz w:val="20"/>
        </w:rPr>
        <w:br/>
        <w:t>Operating Activities</w:t>
      </w:r>
    </w:p>
    <w:p>
      <w:pPr>
        <w:pStyle w:val="TextBody"/>
        <w:bidi w:val="0"/>
        <w:spacing w:lineRule="auto" w:line="240" w:before="0" w:after="200"/>
        <w:ind w:left="0" w:right="0" w:firstLine="547"/>
        <w:jc w:val="left"/>
        <w:rPr>
          <w:rFonts w:ascii="Times New Roman;Times;serif" w:hAnsi="Times New Roman;Times;serif"/>
          <w:i/>
          <w:sz w:val="20"/>
        </w:rPr>
      </w:pPr>
      <w:r>
        <w:rPr>
          <w:rFonts w:ascii="Times New Roman;Times;serif" w:hAnsi="Times New Roman;Times;serif"/>
          <w:i w:val="false"/>
          <w:caps w:val="false"/>
          <w:smallCaps w:val="false"/>
          <w:sz w:val="20"/>
        </w:rPr>
        <w:t>Net cash used in operating activities for the periods presented represents cash disbursements related to all activities other than investing and financing activities. Operating cash flow is derived by adjusting our net loss for non-cash items and changes in operating assets and liabilities. Net cash used in operating activities for the six months ended June 30, 2026 was $132.9 million as compared to $171.1 million for the same period in 2025. The $38.2 million decrease in cash used in operating activities was driven by a $101.5 million decrease in net loss resulting from an increase in revenues generated by sales of Amtagvi</w:t>
      </w:r>
      <w:r>
        <w:rPr>
          <w:rFonts w:ascii="Times New Roman;Times;serif" w:hAnsi="Times New Roman;Times;serif"/>
          <w:i w:val="false"/>
          <w:caps w:val="false"/>
          <w:smallCaps w:val="false"/>
          <w:sz w:val="15"/>
        </w:rPr>
        <w:t>®</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and Proleukin</w:t>
      </w:r>
      <w:r>
        <w:rPr>
          <w:rFonts w:ascii="Times New Roman;Times;serif" w:hAnsi="Times New Roman;Times;serif"/>
          <w:i w:val="false"/>
          <w:caps w:val="false"/>
          <w:smallCaps w:val="false"/>
          <w:sz w:val="15"/>
        </w:rPr>
        <w:t>®</w:t>
      </w:r>
      <w:r>
        <w:rPr>
          <w:rFonts w:ascii="Times New Roman;Times;serif" w:hAnsi="Times New Roman;Times;serif"/>
          <w:i w:val="false"/>
          <w:caps w:val="false"/>
          <w:smallCaps w:val="false"/>
          <w:sz w:val="20"/>
        </w:rPr>
        <w:t>. The overall decrease in cash used in operating activities also includes a net decrease in non-cash charges of $23.2 million. The net decrease in non-cash charges was primarily driven by lower stock-based compensation expenses, and lower amortization of right-of-use assets</w:t>
      </w:r>
      <w:r>
        <w:rPr>
          <w:rFonts w:ascii="Times New Roman;Times;serif" w:hAnsi="Times New Roman;Times;serif"/>
          <w:i/>
          <w:sz w:val="20"/>
        </w:rPr>
        <w:t xml:space="preserve"> </w:t>
      </w:r>
      <w:r>
        <w:rPr>
          <w:rFonts w:ascii="Times New Roman;Times;serif" w:hAnsi="Times New Roman;Times;serif"/>
          <w:i w:val="false"/>
          <w:caps w:val="false"/>
          <w:smallCaps w:val="false"/>
          <w:sz w:val="20"/>
        </w:rPr>
        <w:t xml:space="preserve">related to operating leases, an increase in deferred tax benefits related to the operations in the UK and excess and obsolescence costs, offset by amortization of intangible assets, and accretion of discounts and amortization of premiums on investments, net. In addition, net cash used in operating activities increased by $40.1 million, primarily related to changes in operating assets and liabilities. </w:t>
      </w:r>
    </w:p>
    <w:p>
      <w:pPr>
        <w:pStyle w:val="TextBody"/>
        <w:bidi w:val="0"/>
        <w:spacing w:before="0" w:after="200"/>
        <w:ind w:left="0" w:right="0" w:firstLine="547"/>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 xml:space="preserve">The $40.1 million increase in net cash used in operating activities related to changes in operating assets and liabilities was driven by a $29.1 million increase in trade accounts receivable, resulting from the sale of our products, a net $30.5 million decrease in accounts payable and accrued expenses, resulting from timing of vendor invoicing and related payments, offset by a $19.5 million decrease in net cash used driven primarily by purchases of inventory and an decrease in prepaid expenses and other assets that resulted from the timing of related payments. </w:t>
      </w:r>
    </w:p>
    <w:p>
      <w:pPr>
        <w:pStyle w:val="TextBody"/>
        <w:bidi w:val="0"/>
        <w:spacing w:before="0" w:after="200"/>
        <w:ind w:left="0" w:right="0" w:firstLine="547"/>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Net cash used or provided by investing activities for the periods presented primarily relates to the cash utilized to fund the purchase and maturity of investments, and capital expenditures. Net cash used by investing activities for the six months ended June 30, 2026 was $62.7 million, compared to net cash provided by investing activities of $29.7 million for the same period in 2025. The increase in cash used of $92.4 million was primarily driven by a $94.0 million increase associated with changes in the timing of maturities and purchases of investments, offset by a decrease in capital expenditures of $1.6 million. </w:t>
      </w:r>
    </w:p>
    <w:p>
      <w:pPr>
        <w:pStyle w:val="TextBody"/>
        <w:bidi w:val="0"/>
        <w:spacing w:before="0" w:after="200"/>
        <w:ind w:left="0" w:right="0" w:firstLine="547"/>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Net cash provided by financing activities for the six months ended June 30, 2026, was $143.6 million compared to net cash provided of $156.5 million for the same period in 2025. The decrease in net cash provided by financing activities of $12.9 million was primarily driven by a decrease in net proceeds of $13.9 million received through the sales of common stock through our “at the market” offering program during the six months ended June 30, 2026, as compared to the net proceeds received from our “at the market” offering program for the same period in 2025. This was offset by a $0.8 million decrease in tax payments related to shares withheld for vested restricted stock units, and a $0.2 million increase in proceeds from the issuance of common stock upon the exercise of stock options and from our employee stock purchase plan program.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following table summarizes our non-cancellable contractual obligations as of June 30, 2026, and the effects that such obligations are expected to have on our liquidity and cash flows in future periods (in thousands):</w:t>
      </w:r>
    </w:p>
    <w:p>
      <w:pPr>
        <w:pStyle w:val="TextBody"/>
        <w:bidi w:val="0"/>
        <w:spacing w:before="0" w:after="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1574"/>
        <w:gridCol w:w="346"/>
        <w:gridCol w:w="211"/>
        <w:gridCol w:w="781"/>
        <w:gridCol w:w="346"/>
        <w:gridCol w:w="211"/>
        <w:gridCol w:w="676"/>
        <w:gridCol w:w="346"/>
        <w:gridCol w:w="211"/>
        <w:gridCol w:w="676"/>
        <w:gridCol w:w="346"/>
        <w:gridCol w:w="211"/>
        <w:gridCol w:w="676"/>
        <w:gridCol w:w="346"/>
        <w:gridCol w:w="211"/>
        <w:gridCol w:w="571"/>
        <w:gridCol w:w="346"/>
        <w:gridCol w:w="211"/>
        <w:gridCol w:w="571"/>
        <w:gridCol w:w="346"/>
        <w:gridCol w:w="211"/>
        <w:gridCol w:w="781"/>
      </w:tblGrid>
      <w:tr>
        <w:trPr/>
        <w:tc>
          <w:tcPr>
            <w:tcW w:w="1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999490" cy="175260"/>
                      <wp:effectExtent l="0" t="0" r="0" b="0"/>
                      <wp:wrapNone/>
                      <wp:docPr id="456" name="Frame456"/>
                      <a:graphic xmlns:a="http://schemas.openxmlformats.org/drawingml/2006/main">
                        <a:graphicData uri="http://schemas.microsoft.com/office/word/2010/wordprocessingShape">
                          <wps:wsp>
                            <wps:cNvSpPr txBox="1"/>
                            <wps:spPr>
                              <a:xfrm>
                                <a:off x="0" y="0"/>
                                <a:ext cx="999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19710" cy="175260"/>
                      <wp:effectExtent l="0" t="0" r="0" b="0"/>
                      <wp:wrapNone/>
                      <wp:docPr id="457"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33985" cy="175260"/>
                      <wp:effectExtent l="0" t="0" r="0" b="0"/>
                      <wp:wrapNone/>
                      <wp:docPr id="458" name="Frame4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495935" cy="175260"/>
                      <wp:effectExtent l="0" t="0" r="0" b="0"/>
                      <wp:wrapNone/>
                      <wp:docPr id="459" name="Frame4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29260" cy="175260"/>
                      <wp:effectExtent l="0" t="0" r="0" b="0"/>
                      <wp:wrapNone/>
                      <wp:docPr id="462" name="Frame4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29260" cy="175260"/>
                      <wp:effectExtent l="0" t="0" r="0" b="0"/>
                      <wp:wrapNone/>
                      <wp:docPr id="465" name="Frame46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29260" cy="175260"/>
                      <wp:effectExtent l="0" t="0" r="0" b="0"/>
                      <wp:wrapNone/>
                      <wp:docPr id="468" name="Frame4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33985" cy="175260"/>
                      <wp:effectExtent l="0" t="0" r="0" b="0"/>
                      <wp:wrapNone/>
                      <wp:docPr id="470" name="Frame4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62585" cy="175260"/>
                      <wp:effectExtent l="0" t="0" r="0" b="0"/>
                      <wp:wrapNone/>
                      <wp:docPr id="471" name="Frame4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9710" cy="175260"/>
                      <wp:effectExtent l="0" t="0" r="0" b="0"/>
                      <wp:wrapNone/>
                      <wp:docPr id="472" name="Frame4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62585" cy="175260"/>
                      <wp:effectExtent l="0" t="0" r="0" b="0"/>
                      <wp:wrapNone/>
                      <wp:docPr id="474" name="Frame4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19710" cy="175260"/>
                      <wp:effectExtent l="0" t="0" r="0" b="0"/>
                      <wp:wrapNone/>
                      <wp:docPr id="475"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95935" cy="175260"/>
                      <wp:effectExtent l="0" t="0" r="0" b="0"/>
                      <wp:wrapNone/>
                      <wp:docPr id="477" name="Frame4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85"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1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r>
      <w:tr>
        <w:trPr/>
        <w:tc>
          <w:tcPr>
            <w:tcW w:w="157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 - facilities</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53,393</w:t>
            </w:r>
          </w:p>
        </w:tc>
      </w:tr>
      <w:tr>
        <w:trPr/>
        <w:tc>
          <w:tcPr>
            <w:tcW w:w="157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obligations</w:t>
            </w:r>
            <w:r>
              <w:rPr>
                <w:rFonts w:ascii="Times New Roman;Times;serif" w:hAnsi="Times New Roman;Times;serif"/>
                <w:sz w:val="15"/>
              </w:rPr>
              <w:t>(2)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74"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53,393</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1"/>
        <w:gridCol w:w="23"/>
        <w:gridCol w:w="9746"/>
        <w:gridCol w:w="155"/>
      </w:tblGrid>
      <w:tr>
        <w:trPr/>
        <w:tc>
          <w:tcPr>
            <w:tcW w:w="304" w:type="dxa"/>
            <w:gridSpan w:val="2"/>
            <w:tcBorders/>
            <w:vAlign w:val="center"/>
          </w:tcPr>
          <w:p>
            <w:pPr>
              <w:pStyle w:val="TableContents"/>
              <w:bidi w:val="0"/>
              <w:spacing w:before="0" w:after="0"/>
              <w:ind w:left="0" w:right="0" w:hanging="0"/>
              <w:jc w:val="both"/>
              <w:rPr/>
            </w:pPr>
            <w:r>
              <w:rPr/>
              <w:t>​</w:t>
            </w:r>
          </w:p>
        </w:tc>
        <w:tc>
          <w:tcPr>
            <w:tcW w:w="9746" w:type="dxa"/>
            <w:tcBorders/>
            <w:vAlign w:val="center"/>
          </w:tcPr>
          <w:p>
            <w:pPr>
              <w:pStyle w:val="TableContents"/>
              <w:bidi w:val="0"/>
              <w:spacing w:before="0" w:after="0"/>
              <w:ind w:left="0" w:right="0" w:hanging="0"/>
              <w:jc w:val="both"/>
              <w:rPr/>
            </w:pPr>
            <w:r>
              <w:rPr/>
              <w:t>​</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304" w:type="dxa"/>
            <w:gridSpan w:val="2"/>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(1)</w:t>
            </w:r>
          </w:p>
        </w:tc>
        <w:tc>
          <w:tcPr>
            <w:tcW w:w="9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Our operating lease obligations consist of obligations under non-cancellable operating leases for our facilities in San Carlos, California, Philadelphia, Pennsylvania, and Tampa, Florida.</w:t>
            </w:r>
          </w:p>
        </w:tc>
        <w:tc>
          <w:tcPr>
            <w:tcW w:w="155" w:type="dxa"/>
            <w:tcBorders/>
            <w:vAlign w:val="center"/>
          </w:tcPr>
          <w:p>
            <w:pPr>
              <w:pStyle w:val="TableContents"/>
              <w:bidi w:val="0"/>
              <w:spacing w:before="0" w:after="283"/>
              <w:ind w:left="0" w:right="0" w:hanging="0"/>
              <w:jc w:val="left"/>
              <w:rPr>
                <w:sz w:val="4"/>
                <w:szCs w:val="4"/>
              </w:rPr>
            </w:pPr>
            <w:r>
              <w:rPr>
                <w:sz w:val="4"/>
                <w:szCs w:val="4"/>
              </w:rPr>
            </w:r>
          </w:p>
        </w:tc>
      </w:tr>
      <w:tr>
        <w:trPr/>
        <w:tc>
          <w:tcPr>
            <w:tcW w:w="28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(2) </w:t>
            </w:r>
          </w:p>
        </w:tc>
        <w:tc>
          <w:tcPr>
            <w:tcW w:w="9924" w:type="dxa"/>
            <w:gridSpan w:val="3"/>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We have purchase obligations of $48.4 million related to manufacturing and supply agreements for Proleukin</w:t>
            </w:r>
            <w:r>
              <w:rPr>
                <w:rFonts w:ascii="Times New Roman;Times;serif" w:hAnsi="Times New Roman;Times;serif"/>
                <w:sz w:val="14"/>
              </w:rPr>
              <w:t>®</w:t>
            </w:r>
            <w:r>
              <w:rPr>
                <w:rFonts w:ascii="Times New Roman;Times;serif" w:hAnsi="Times New Roman;Times;serif"/>
                <w:sz w:val="18"/>
              </w:rPr>
              <w:t xml:space="preserve"> under a contract we inherited as part of the Acquisition, which was subsequently extended through 2028.</w:t>
            </w:r>
          </w:p>
        </w:tc>
      </w:tr>
      <w:tr>
        <w:trPr/>
        <w:tc>
          <w:tcPr>
            <w:tcW w:w="304" w:type="dxa"/>
            <w:gridSpan w:val="2"/>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(3)</w:t>
            </w:r>
          </w:p>
        </w:tc>
        <w:tc>
          <w:tcPr>
            <w:tcW w:w="97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 cycle of the pharmaceutical product (</w:t>
            </w:r>
            <w:r>
              <w:rPr>
                <w:rFonts w:ascii="Times New Roman;Times;serif" w:hAnsi="Times New Roman;Times;serif"/>
                <w:i/>
                <w:sz w:val="18"/>
              </w:rPr>
              <w:t>e.g</w:t>
            </w:r>
            <w:r>
              <w:rPr>
                <w:rFonts w:ascii="Times New Roman;Times;serif" w:hAnsi="Times New Roman;Times;serif"/>
                <w:sz w:val="18"/>
              </w:rPr>
              <w:t>.,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 These arrangements may be material individually, and in the event that milestones for multiple products covered by these arrangements are reached in the same period, the aggregate charge to expense could be material to the results of operations in any one period. In addition, these arrangements often give us the discretion to unilaterally terminate development of the product, which would allow us to avoid making contingent payments.</w:t>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2026, we had no obligations that would require disclosure as off-balance sheet arrangements.</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pBdr/>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accounting policies are more fully described in Note 2 of the condensed consolidated financial statements included in this Quarterly Report on Form 10-Q. As described in Note 2, the preparation of our condensed consolidated financial statements requires us to make estimates and judgments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under different assumptions or conditions. </w:t>
      </w:r>
    </w:p>
    <w:p>
      <w:pPr>
        <w:pStyle w:val="TextBody"/>
        <w:shd w:fill="FFFFFF" w:val="clear"/>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believe the following critical accounting policies reflect the more significant judgments and estimates used in the preparation of our condensed consolidated financial statements:</w:t>
      </w:r>
    </w:p>
    <w:p>
      <w:pPr>
        <w:pStyle w:val="TextBody"/>
        <w:shd w:fill="FFFFFF" w:val="clear"/>
        <w:bidi w:val="0"/>
        <w:spacing w:before="0" w:after="0"/>
        <w:ind w:left="547" w:right="0" w:hanging="0"/>
        <w:jc w:val="left"/>
        <w:rPr>
          <w:rFonts w:ascii="Times New Roman;Times;serif" w:hAnsi="Times New Roman;Times;serif"/>
          <w:b/>
          <w:i/>
          <w:sz w:val="20"/>
        </w:rPr>
      </w:pPr>
      <w:r>
        <w:rPr>
          <w:rFonts w:ascii="Times New Roman;Times;serif" w:hAnsi="Times New Roman;Times;serif"/>
          <w:b/>
          <w:i/>
          <w:sz w:val="20"/>
        </w:rPr>
        <w:t>Asset Acquisitions</w:t>
      </w:r>
    </w:p>
    <w:p>
      <w:pPr>
        <w:pStyle w:val="TextBody"/>
        <w:bidi w:val="0"/>
        <w:spacing w:before="0" w:after="0"/>
        <w:ind w:left="0" w:right="0" w:hanging="0"/>
        <w:jc w:val="left"/>
        <w:rPr/>
      </w:pPr>
      <w:r>
        <w:rPr/>
        <w:t>​</w:t>
      </w:r>
    </w:p>
    <w:p>
      <w:pPr>
        <w:pStyle w:val="TextBody"/>
        <w:pBdr/>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We make certain judgments to determine whether transactions should be accounted for acquisitions of assets or business combinations using the guidance in Accounting Standard Codification, or ASC, Topic 805, </w:t>
      </w:r>
      <w:r>
        <w:rPr>
          <w:rFonts w:ascii="Times New Roman;Times;serif" w:hAnsi="Times New Roman;Times;serif"/>
          <w:i/>
          <w:sz w:val="20"/>
        </w:rPr>
        <w:t>Business Combinations,</w:t>
      </w:r>
      <w:r>
        <w:rPr>
          <w:rFonts w:ascii="Times New Roman;Times;serif" w:hAnsi="Times New Roman;Times;serif"/>
          <w:sz w:val="20"/>
        </w:rPr>
        <w:t>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we have acquired inputs and processes that have the ability to create outputs, which would meet the requirements of a business.</w:t>
      </w:r>
    </w:p>
    <w:p>
      <w:pPr>
        <w:pStyle w:val="TextBody"/>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If the assets acquired do not constitute a business, we account for asset acquisitions using the cost accumulation and allocation method. Under this method, the cost of the acquisition, including direct acquisition-related costs, is allocated to the assets acquired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pStyle w:val="TextBody"/>
        <w:pBdr/>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Deferred tax liabilities arising from basis differences in assets acquired are calculated using the simultaneous equations method under ASC 740, </w:t>
      </w:r>
      <w:r>
        <w:rPr>
          <w:rFonts w:ascii="Times New Roman;Times;serif" w:hAnsi="Times New Roman;Times;serif"/>
          <w:i/>
          <w:sz w:val="20"/>
        </w:rPr>
        <w:t>Income Taxes</w:t>
      </w:r>
      <w:r>
        <w:rPr>
          <w:rFonts w:ascii="Times New Roman;Times;serif" w:hAnsi="Times New Roman;Times;serif"/>
          <w:sz w:val="20"/>
        </w:rPr>
        <w:t> and based on the effective tax rate. The resulting deferred tax liability is recorded against the carrying amount of the acquired intangible assets on a relative fair value basis.</w:t>
      </w:r>
    </w:p>
    <w:p>
      <w:pPr>
        <w:pStyle w:val="TextBody"/>
        <w:shd w:fill="FFFFFF" w:val="clear"/>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Contingent consideration in the scope of ASC Topic 815, </w:t>
      </w:r>
      <w:r>
        <w:rPr>
          <w:rFonts w:ascii="Times New Roman;Times;serif" w:hAnsi="Times New Roman;Times;serif"/>
          <w:i/>
          <w:sz w:val="20"/>
        </w:rPr>
        <w:t>Derivatives and Hedging</w:t>
      </w:r>
      <w:r>
        <w:rPr>
          <w:rFonts w:ascii="Times New Roman;Times;serif" w:hAnsi="Times New Roman;Times;serif"/>
          <w:sz w:val="20"/>
        </w:rPr>
        <w:t>, is included in the cost of the asset acquisition at its acquisition date fair value. Contingent consideration in the scope of ASC Topic 450, </w:t>
      </w:r>
      <w:r>
        <w:rPr>
          <w:rFonts w:ascii="Times New Roman;Times;serif" w:hAnsi="Times New Roman;Times;serif"/>
          <w:i/>
          <w:sz w:val="20"/>
        </w:rPr>
        <w:t>Contingencies</w:t>
      </w:r>
      <w:r>
        <w:rPr>
          <w:rFonts w:ascii="Times New Roman;Times;serif" w:hAnsi="Times New Roman;Times;serif"/>
          <w:sz w:val="20"/>
        </w:rPr>
        <w:t xml:space="preserve">, is recognized when it is both probable and reasonably estimable. </w:t>
      </w:r>
    </w:p>
    <w:p>
      <w:pPr>
        <w:pStyle w:val="TextBody"/>
        <w:shd w:fill="FFFFFF" w:val="clear"/>
        <w:bidi w:val="0"/>
        <w:spacing w:before="0" w:after="0"/>
        <w:ind w:left="547" w:right="0" w:hanging="0"/>
        <w:jc w:val="left"/>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hanging="0"/>
        <w:jc w:val="left"/>
        <w:rPr/>
      </w:pPr>
      <w:r>
        <w:rPr/>
        <w:t>​</w:t>
      </w:r>
    </w:p>
    <w:p>
      <w:pPr>
        <w:pStyle w:val="TextBody"/>
        <w:pBdr/>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Our acquired intangible assets are initially measured based on an allocation of the cost of the acquisition to the assets acquired on a relative fair value basis and are recorded net of accumulated amortization, while intangible assets recorded as the result of milestone or license payments are recorded at the amount paid. We amortize our intangible assets on a straight-line basis over their estimated useful lives.</w:t>
      </w:r>
    </w:p>
    <w:p>
      <w:pPr>
        <w:pStyle w:val="TextBody"/>
        <w:pBdr/>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 </w:t>
      </w:r>
    </w:p>
    <w:p>
      <w:pPr>
        <w:pStyle w:val="TextBody"/>
        <w:shd w:fill="FFFFFF" w:val="clear"/>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or impaired intangible assets existed as of June 30, 2026. </w:t>
      </w:r>
    </w:p>
    <w:p>
      <w:pPr>
        <w:pStyle w:val="TextBody"/>
        <w:bidi w:val="0"/>
        <w:spacing w:before="0" w:after="0"/>
        <w:ind w:left="0" w:right="0" w:firstLine="547"/>
        <w:jc w:val="left"/>
        <w:rPr>
          <w:rFonts w:ascii="Times New Roman;Times;serif" w:hAnsi="Times New Roman;Times;serif"/>
          <w:b/>
          <w:i/>
          <w:sz w:val="20"/>
        </w:rPr>
      </w:pPr>
      <w:r>
        <w:rPr>
          <w:rFonts w:ascii="Times New Roman;Times;serif" w:hAnsi="Times New Roman;Times;serif"/>
          <w:b/>
          <w:i/>
          <w:sz w:val="20"/>
        </w:rPr>
        <w:t>Inventory and Cost of Sales</w:t>
      </w:r>
    </w:p>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Inventory is stated at the lower of cost or net realizable value on a first-in, first-out basis. Our assessment of net realizable value requires the use of estimates regarding the net realizable value of our inventory balances, including an assessment of excess or obsolete inventory. We determine excess or obsolete inventory based on multiple factors, including our most recent sales and manufacturing forecast compared to quantities on hand and the expiration date of the product and materials.</w:t>
      </w:r>
    </w:p>
    <w:p>
      <w:pPr>
        <w:pStyle w:val="TextBody"/>
        <w:shd w:fill="FFFFFF" w:val="clear"/>
        <w:bidi w:val="0"/>
        <w:spacing w:before="0" w:after="200"/>
        <w:ind w:left="547"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recognize revenue from product sales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w:t>
      </w:r>
      <w:r>
        <w:rPr>
          <w:rFonts w:ascii="Times New Roman;Times;serif" w:hAnsi="Times New Roman;Times;serif"/>
          <w:sz w:val="15"/>
        </w:rPr>
        <w:t>®</w:t>
      </w:r>
      <w:r>
        <w:rPr>
          <w:rFonts w:ascii="Times New Roman;Times;serif" w:hAnsi="Times New Roman;Times;serif"/>
          <w:sz w:val="20"/>
        </w:rPr>
        <w:t xml:space="preserve">, transfer of control occurs either upon shipment or upon receipt of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issuance of credits, typically within one month. All other GTN adjustments are recorded as a liability and settled through cash payments to the customer.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Judgment is required in estimating GTN adjustments considering legal interpretations of applicable laws and regulations, historical experience, payer channel mix, current contract prices under applicable programs, processing time lags and inventory levels in the distribution channel.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Indirect taxes collected from customers and remitted to government authorities that are related to sales of our products, primarily in Europe, are excluded from revenues. </w:t>
      </w:r>
    </w:p>
    <w:p>
      <w:pPr>
        <w:pStyle w:val="TextBody"/>
        <w:bidi w:val="0"/>
        <w:spacing w:before="0" w:after="0"/>
        <w:ind w:left="0" w:right="0" w:firstLine="547"/>
        <w:jc w:val="left"/>
        <w:rPr>
          <w:rFonts w:ascii="Times New Roman;Times;serif" w:hAnsi="Times New Roman;Times;serif"/>
          <w:b/>
          <w:i/>
          <w:sz w:val="20"/>
        </w:rPr>
      </w:pPr>
      <w:r>
        <w:rPr>
          <w:rFonts w:ascii="Times New Roman;Times;serif" w:hAnsi="Times New Roman;Times;serif"/>
          <w:b/>
          <w:i/>
          <w:sz w:val="20"/>
        </w:rPr>
        <w:t>Accrued Research and Development Costs</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Research and development costs are expensed as incurred. Clinical development costs compose a significant component of research and development costs. We have a history of contracting with third parties, including CROs, independent clinical investigators, and CMOs,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We determine our costs through discussions with internal clinical stakeholders and outside service providers as to the progress or stage of completion of clinical trials or services and the contracted fee to be paid for such services.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Included in our clinical development costs are investigator costs, which are costs associated with treatments administered at clinical sites as required under each clinical trial protocol. Our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We accrue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 </w:t>
      </w:r>
    </w:p>
    <w:p>
      <w:pPr>
        <w:pStyle w:val="TextBody"/>
        <w:bidi w:val="0"/>
        <w:spacing w:before="0" w:after="0"/>
        <w:ind w:left="0" w:right="0" w:firstLine="547"/>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We make judgments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we adjust our estimates, liabilities and assets. Inputs used in our determination of estimates discussed above may vary from actual, which will result in adjustments to research and development expense in future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771" w:name="Item3QuantitativeandQualitativeDisclosur"/>
      <w:bookmarkStart w:id="1772" w:name="_fe48c3f8_6ff7_4cbd_9f85_c48cdd0eb02b"/>
      <w:bookmarkEnd w:id="1771"/>
      <w:bookmarkEnd w:id="1772"/>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Our exposure to market risk is limited primarily to interest income sensitivity, which is affected by changes in the general level of U.S. interest rates, particularly because a significant portion of our investments are in interest bearing investments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June 30, 2026, we had $248.0 million invested in marketable securities with a maturity date of less than one year. As such we believe that we are not exposed to any material market risk. If interest rates had varied by 1% in the quarter ended June 30, 2026, the fair value of our investment portfolio would increase or decrease by approximately $0.5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Inflation has not had a material effect on our business, financial condition, or results of operations as of and for the periods covered by this Quarterly Report on Form 10-Q.</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Foreign currency exchange risk</w:t>
      </w:r>
    </w:p>
    <w:p>
      <w:pPr>
        <w:pStyle w:val="TextBody"/>
        <w:shd w:fill="FFFFFF" w:val="clear"/>
        <w:bidi w:val="0"/>
        <w:spacing w:before="0" w:after="0"/>
        <w:ind w:left="0" w:right="0" w:firstLine="547"/>
        <w:jc w:val="left"/>
        <w:rPr/>
      </w:pPr>
      <w:r>
        <w:rPr/>
        <w:t>​</w:t>
      </w:r>
    </w:p>
    <w:p>
      <w:pPr>
        <w:pStyle w:val="TextBody"/>
        <w:shd w:fill="FFFFFF" w:val="clear"/>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In addition to our existing foreign operations, we acquired and established newly formed foreign subsidiaries to consummate our acquisition of worldwide rights in Proleukin</w:t>
      </w:r>
      <w:r>
        <w:rPr>
          <w:rFonts w:ascii="Times New Roman;Times;serif" w:hAnsi="Times New Roman;Times;serif"/>
          <w:sz w:val="15"/>
        </w:rPr>
        <w:t>®</w:t>
      </w:r>
      <w:r>
        <w:rPr>
          <w:rFonts w:ascii="Times New Roman;Times;serif" w:hAnsi="Times New Roman;Times;serif"/>
          <w:sz w:val="20"/>
        </w:rPr>
        <w:t xml:space="preserve"> in the second quarter of 2023. As a result, our financial results could be significantly affected by factors such as changes in foreign currency exchange rates or weak economic conditions in the foreign markets in which we distribute Proleukin</w:t>
      </w:r>
      <w:r>
        <w:rPr>
          <w:rFonts w:ascii="Times New Roman;Times;serif" w:hAnsi="Times New Roman;Times;serif"/>
          <w:sz w:val="15"/>
        </w:rPr>
        <w:t>®</w:t>
      </w:r>
      <w:r>
        <w:rPr>
          <w:rFonts w:ascii="Times New Roman;Times;serif" w:hAnsi="Times New Roman;Times;serif"/>
          <w:sz w:val="20"/>
        </w:rPr>
        <w:t>. Our operating results could be exposed to changes in foreign currency exchange rates between U.S. dollar and various foreign currencies, the most significant of which is the pound sterling. When the U.S. dollar strengthens against these currencies, the relative value of sales made in the respective foreign currency decreases. Conversely, when the U.S. dollar weakens against these currencies, the relative value of such sales increase.</w:t>
      </w:r>
    </w:p>
    <w:p>
      <w:pPr>
        <w:pStyle w:val="TextBody"/>
        <w:shd w:fill="FFFFFF" w:val="clear"/>
        <w:bidi w:val="0"/>
        <w:spacing w:before="0" w:after="0"/>
        <w:ind w:left="0" w:right="0" w:firstLine="547"/>
        <w:jc w:val="left"/>
        <w:rPr/>
      </w:pPr>
      <w:r>
        <w:rPr/>
        <w:t>​</w:t>
      </w:r>
    </w:p>
    <w:p>
      <w:pPr>
        <w:pStyle w:val="TextBody"/>
        <w:shd w:fill="FFFFFF" w:val="clear"/>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majority of our product sales during the three and six months ended June 30, 2026 were denominated in the U.S. dollar, however, we do have some sales denominated in foreign currencies. Nevertheless, foreign currency transaction gains and losses were immaterial for the three and six months ended June 30, 2026. No foreign currency exchange risk existed for the three months ended June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773" w:name="Item4ControlsandProcedures_270789"/>
      <w:bookmarkStart w:id="1774" w:name="_f7b6c1dd_53a4_40ab_93b3_d32dc01c3688"/>
      <w:bookmarkEnd w:id="1773"/>
      <w:bookmarkEnd w:id="1774"/>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Conclusion Regarding the Effectiveness of Disclosure Controls and Procedures:</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 xml:space="preserve">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bookmarkStart w:id="1775" w:name="PARTIIOTHERINFORMATION_407750"/>
      <w:bookmarkStart w:id="1776" w:name="_2605c98b_cd9a_4191_984d_3cbf698c1aed"/>
      <w:bookmarkEnd w:id="1775"/>
      <w:bookmarkEnd w:id="1776"/>
      <w:r>
        <w:rPr>
          <w:rFonts w:ascii="Times New Roman;Times;serif" w:hAnsi="Times New Roman;Times;serif"/>
          <w:b/>
          <w:sz w:val="20"/>
        </w:rPr>
        <w:t>PART II. OTHER INFORMATION</w:t>
      </w:r>
    </w:p>
    <w:p>
      <w:pPr>
        <w:pStyle w:val="TextBody"/>
        <w:bidi w:val="0"/>
        <w:spacing w:before="0" w:after="200"/>
        <w:ind w:left="0" w:right="0" w:hanging="0"/>
        <w:jc w:val="left"/>
        <w:rPr>
          <w:rFonts w:ascii="Times New Roman;Times;serif" w:hAnsi="Times New Roman;Times;serif"/>
          <w:sz w:val="20"/>
        </w:rPr>
      </w:pPr>
      <w:bookmarkStart w:id="1777" w:name="Item1LegalProceedings_444925"/>
      <w:bookmarkEnd w:id="1777"/>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information in Note 13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13 to our condensed consolidated financial statements for the quarter ended June 30, 2026, contained in this Quarterly Report on Form 10-Q.</w:t>
      </w:r>
    </w:p>
    <w:p>
      <w:pPr>
        <w:pStyle w:val="TextBody"/>
        <w:bidi w:val="0"/>
        <w:spacing w:before="0" w:after="200"/>
        <w:ind w:left="0" w:right="0" w:hanging="0"/>
        <w:jc w:val="left"/>
        <w:rPr>
          <w:rFonts w:ascii="Times New Roman;Times;serif" w:hAnsi="Times New Roman;Times;serif"/>
          <w:sz w:val="20"/>
        </w:rPr>
      </w:pPr>
      <w:bookmarkStart w:id="1778" w:name="Item1ARiskFactors_493740"/>
      <w:bookmarkStart w:id="1779" w:name="_ee1aa45f_7706_416b_aacd_b01c1e8a6782"/>
      <w:bookmarkEnd w:id="1778"/>
      <w:bookmarkEnd w:id="1779"/>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00"/>
        <w:ind w:left="0" w:right="0" w:firstLine="547"/>
        <w:jc w:val="left"/>
        <w:rPr>
          <w:rFonts w:ascii="Times New Roman;Times;serif" w:hAnsi="Times New Roman;Times;serif"/>
          <w:i/>
          <w:sz w:val="20"/>
        </w:rPr>
      </w:pPr>
      <w:r>
        <w:rPr>
          <w:rFonts w:ascii="Times New Roman;Times;serif" w:hAnsi="Times New Roman;Times;serif"/>
          <w:i/>
          <w:sz w:val="20"/>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U.S. Securities and Exchange Commission, or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 Factors Summary</w:t>
      </w:r>
    </w:p>
    <w:p>
      <w:pPr>
        <w:pStyle w:val="TextBody"/>
        <w:bidi w:val="0"/>
        <w:spacing w:before="0" w:after="0"/>
        <w:ind w:left="0" w:right="0" w:firstLine="547"/>
        <w:jc w:val="left"/>
        <w:rPr>
          <w:rFonts w:ascii="Times New Roman;Times;serif" w:hAnsi="Times New Roman;Times;serif"/>
          <w:sz w:val="20"/>
        </w:rPr>
      </w:pPr>
      <w:bookmarkStart w:id="1780" w:name="_cp_text_1_484"/>
      <w:bookmarkEnd w:id="1780"/>
      <w:r>
        <w:rPr>
          <w:rFonts w:ascii="Times New Roman;Times;serif" w:hAnsi="Times New Roman;Times;serif"/>
          <w:sz w:val="20"/>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b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Risks Related to Our Business:</w:t>
      </w:r>
    </w:p>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we expect to continue to incur losses, and we may never be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the Gen 2 manufacturing process or other processes we have selected will be FDA-compliant or more efficient and will lower the cost to manufacture TIL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significant competition from other biotechnology and pharmaceutical companies and from non-profit institutions;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projections regarding the market opportunities for our products and product candidates may not be accurate, and the actual market for our products and product candidates may be smaller than we estimate;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or product candidates do not achieve broad market acceptance, the revenues that we generate from their sales will be limited;</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product candidates may face competition sooner than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need to grow the size and capabilities of our organization, and we may experience difficulties in managing this growth;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or sufficiently expand our manufacturing capacity to meet demand for our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success of our product candidates and cannot guarantee that these product candidates will successfully complete development, receive regulatory approval, or be successfully commercialized;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 of a product candidate intended for use in combination with an already approved product may present more or different challenges than development of a product candidate for use as a single agent;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U.S.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our clinical trials, not be able to conduct our clinical trials on the timelines we expect, and be required to conduct additional clinical trials or modify current or future clinical trials based on feedback we receive from the FDA and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take longer and cost more to complete our clinical trials than we project, or we may not be able to complete them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may fail to demonstrate adequately the safety and efficacy of our product candidates, which would prevent or delay regulatory approval and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substantial royalties and lump sum benchmark payments under our license or acquisition agreements with the NIH, Novartis, Clinigen, and Cellectis, and we must meet certain milestones to maintain our license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global operations, which expose us to additional risks, and any adverse event could have a material adverse effect on our results of operations and financial condition;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ongoing military conflicts, and inflation. Our business, financial condition and results of operations could be materially adversely affected by any negative impact on the global economy and capital markets resulting from the conflicts in Ukraine, the Middle East and other global conflicts, geopolitical tensions, or inflation.</w:t>
            </w:r>
          </w:p>
        </w:tc>
      </w:tr>
    </w:tbl>
    <w:p>
      <w:pPr>
        <w:pStyle w:val="TextBody"/>
        <w:bidi w:val="0"/>
        <w:spacing w:before="0" w:after="0"/>
        <w:ind w:left="36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Risks Related to Government Regulation: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and foreign regulatory approval process is lengthy and time-consuming, and we may experience significant delays in the clinical development and regulatory approval of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approval of our product candidates in one jurisdiction does not mean that we will be successful in obtaining or maintaining regulatory approval of our product candidates in other jurisdictions;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may be limited or unavailable in certain market segments for our products or product candidates, which could make it difficult for us to sell our product candidates profitably.</w:t>
            </w:r>
          </w:p>
        </w:tc>
      </w:tr>
    </w:tbl>
    <w:p>
      <w:pPr>
        <w:pStyle w:val="TextBody"/>
        <w:bidi w:val="0"/>
        <w:spacing w:before="0" w:after="0"/>
        <w:ind w:left="72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summary risk factors described above should be read together with the text of the full risk factors below in this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have a history of operating losses; we expect to continue to incur losses, and we may never be profitable.</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We are a commercial-stage biopharmaceutical company pioneering a transformational approach to treating cancer by harnessing the human immune system’s ability to recognize and destroy diverse cancer cells using individualized therapies. Until the closing of the Proleukin</w:t>
      </w:r>
      <w:r>
        <w:rPr>
          <w:rFonts w:ascii="Times New Roman;Times;serif" w:hAnsi="Times New Roman;Times;serif"/>
          <w:sz w:val="15"/>
        </w:rPr>
        <w:t>®</w:t>
      </w:r>
      <w:r>
        <w:rPr>
          <w:rFonts w:ascii="Times New Roman;Times;serif" w:hAnsi="Times New Roman;Times;serif"/>
          <w:sz w:val="20"/>
        </w:rPr>
        <w:t xml:space="preserve"> acquisition, or the Acquisition, in May 2023, we did not have products approved for commercial sale and have not generated significant revenue from operations. We began to generate revenue from the sale of Proleukin</w:t>
      </w:r>
      <w:r>
        <w:rPr>
          <w:rFonts w:ascii="Times New Roman;Times;serif" w:hAnsi="Times New Roman;Times;serif"/>
          <w:sz w:val="15"/>
        </w:rPr>
        <w:t>®</w:t>
      </w:r>
      <w:r>
        <w:rPr>
          <w:rFonts w:ascii="Times New Roman;Times;serif" w:hAnsi="Times New Roman;Times;serif"/>
          <w:sz w:val="20"/>
        </w:rPr>
        <w:t xml:space="preserve"> after the Acquisition, and from the sale of Amtagvi</w:t>
      </w:r>
      <w:r>
        <w:rPr>
          <w:rFonts w:ascii="Times New Roman;Times;serif" w:hAnsi="Times New Roman;Times;serif"/>
          <w:sz w:val="15"/>
        </w:rPr>
        <w:t>®</w:t>
      </w:r>
      <w:r>
        <w:rPr>
          <w:rFonts w:ascii="Times New Roman;Times;serif" w:hAnsi="Times New Roman;Times;serif"/>
          <w:sz w:val="20"/>
        </w:rPr>
        <w:t xml:space="preserve"> in the second quarter of 2024. However, Proleukin</w:t>
      </w:r>
      <w:r>
        <w:rPr>
          <w:rFonts w:ascii="Times New Roman;Times;serif" w:hAnsi="Times New Roman;Times;serif"/>
          <w:sz w:val="15"/>
        </w:rPr>
        <w:t>®</w:t>
      </w:r>
      <w:r>
        <w:rPr>
          <w:rFonts w:ascii="Times New Roman;Times;serif" w:hAnsi="Times New Roman;Times;serif"/>
          <w:sz w:val="20"/>
        </w:rPr>
        <w:t xml:space="preserve"> revenues are dependent upon continued use in manufacturing and clinical settings by us and other cell therapy companies.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recognize revenue from product sales in accordance with ASC Topic 606, Revenue from Contracts with Customers, or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w:t>
      </w:r>
      <w:r>
        <w:rPr>
          <w:rFonts w:ascii="Times New Roman;Times;serif" w:hAnsi="Times New Roman;Times;serif"/>
          <w:sz w:val="15"/>
        </w:rPr>
        <w:t>®</w:t>
      </w:r>
      <w:r>
        <w:rPr>
          <w:rFonts w:ascii="Times New Roman;Times;serif" w:hAnsi="Times New Roman;Times;serif"/>
          <w:sz w:val="20"/>
        </w:rPr>
        <w:t>, transfer of control occurs either upon shipment or upon receipt of the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Significant 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As of June 30, 2026, we had an accumulated deficit of $2.9 billion. In addition, during the six months ended June 30, 2026, we incurred a net loss of $126.4 million. While we are executing the U.S. launch of our first internally developed product, Amtagvi</w:t>
      </w:r>
      <w:r>
        <w:rPr>
          <w:rFonts w:ascii="Times New Roman;Times;serif" w:hAnsi="Times New Roman;Times;serif"/>
          <w:sz w:val="15"/>
        </w:rPr>
        <w:t>®</w:t>
      </w:r>
      <w:r>
        <w:rPr>
          <w:rFonts w:ascii="Times New Roman;Times;serif" w:hAnsi="Times New Roman;Times;serif"/>
          <w:sz w:val="20"/>
        </w:rPr>
        <w:t>, we may not generate any meaningful product sales until later, and we expect to incur significant additional operating losses in the future as we expand our development and clinical trial activities in support of demonstrating the effectiveness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 Furthermore, our profitability and gross margins are subject to fluctuations based on factors outside of our control, such as potential additional tariffs, discussed below, as well as any changes to corporate tax rates.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operations have consumed substantial amounts of cash since inception. From our inception to June 30, 2026, we have an accumulated deficit of $2.9 billion. In addition, our research and development and our operating costs have also been substantial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are expected to increase. As of June 30, 2026, we had $303.7 million in cash, cash equivalents, short-term investments, and restricted cash ($110.8 million of cash and cash equivalents, $186.9 million in short-term investments, and $6.0 million in restricted cash).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With the approval of the BLA, we began to generate revenue from the sale of our product Amtagvi</w:t>
      </w:r>
      <w:r>
        <w:rPr>
          <w:rFonts w:ascii="Times New Roman;Times;serif" w:hAnsi="Times New Roman;Times;serif"/>
          <w:sz w:val="15"/>
        </w:rPr>
        <w:t>®</w:t>
      </w:r>
      <w:r>
        <w:rPr>
          <w:rFonts w:ascii="Times New Roman;Times;serif" w:hAnsi="Times New Roman;Times;serif"/>
          <w:sz w:val="20"/>
        </w:rPr>
        <w:t xml:space="preserve"> in the second quarter of 2024. Furthermore, following the Acquisition, we began to generate revenue from the sales of Proleukin</w:t>
      </w:r>
      <w:r>
        <w:rPr>
          <w:rFonts w:ascii="Times New Roman;Times;serif" w:hAnsi="Times New Roman;Times;serif"/>
          <w:sz w:val="15"/>
        </w:rPr>
        <w:t>®</w:t>
      </w:r>
      <w:r>
        <w:rPr>
          <w:rFonts w:ascii="Times New Roman;Times;serif" w:hAnsi="Times New Roman;Times;serif"/>
          <w:sz w:val="20"/>
        </w:rPr>
        <w:t>. There is no assurance that such funds will be sufficient to fund our operations during the 12 months from the date the condensed consolidated financial statements are issued and this Form 10-Q is filed. However, based on the funds we have available as of the date these consolidated financial statements are issued, we believe that we have sufficient capital to fund our anticipated operating expenses and capital expenditures as planned for at least the next twelve months following the issuance of our condensed consolidated financial statements included in this Form 10-Q. However, in order to complete the development of our current product candidates, and in order to effect our business plan, including expanding our own manufacturing facility, we anticipate that we will have to spend more than the funds currently available to us. Furthermore, changing circumstances may cause us to increase our spending significantly faster than we currently anticipate. We may require additional capital for the further development of our product candidates and commercialization of our products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will need to obtain additional financing to fund our future operations, including completing the development of our product candidates and commercialization of our products. Our future funding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timing, scope, and costs of our clinical trials, including the ability to timely initiate clinical sites, enroll subjects, and manufacture TIL for treatment for patients in our ongoing, planned, and potential future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and cost necessary to obtain regulatory approvals that may be required by regulatory authorities to execute clinical trials or commercialize our product;</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our product candidates,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have clinical and commercial product successfully manufactured consistent with the FDA and foreign regulations, including those applicable in the EU;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sales and other revenues from product candidates that we may commercialize, if any, including the selling prices for such potential products and the availability of adequate third-party coverage and reimbursement for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costs associated with commercializing our products, if approved, including the cost and timing of building our marketing and sales capabilities;</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expanding, staffing, and validating our own manufacturing facility in the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timing of our current and any potential future collaborations, licensing, or other arrangements that we have established or may establish;</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requirements of any future acquisitions or the development of other product candidates;</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operating as a public company;</w:t>
            </w:r>
          </w:p>
        </w:tc>
      </w:tr>
    </w:tbl>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and cost necessary to respond to technological, regulatory, political, and market developments;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filing, prosecuting, defending, and enforcing any patent claims and other intellectual property rights;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costs associated with any potential business or product acquisitions (such as the acquisition of Proleukin</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strategic collaborations, licensing agreements, or other arrangements that we may establish.</w:t>
            </w:r>
          </w:p>
        </w:tc>
      </w:tr>
    </w:tbl>
    <w:p>
      <w:pPr>
        <w:pStyle w:val="TextBody"/>
        <w:bidi w:val="0"/>
        <w:spacing w:before="0" w:after="0"/>
        <w:ind w:left="36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Unless and until we can generate a sufficient amount of revenue, we may finance future cash needs through public or private equity offerings, license agreements, debt financings, collaborations, strategic alliances and marketing or distribution arrangements. For example, in August 2025, we entered into an Amended and Restated Open Market Sale Agreement, or the 2025 Sale Agreement, with Jefferies, which provides for the sale of up to $350.0 million of our common stock from time to time. Additional funds may not be available when we need them on terms that are acceptable to us, or at all. We have no committed source of additional capital and if we are unable to raise additional capital in sufficient amounts or on terms acceptable to us, we may be required to undergo further reductions in our workforce or other corporate restructuring activities, or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be unable to realize the expected benefits from restructuring activities, including workforce reductions, and our business might be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August 2025, we announced a strategic restructuring plan with an associated reduction in workforce as a result of a review of current strategic priorities, resource allocation, and cost reduction intended to reduce operating costs, streamline operations, and extend our cash runway. The workforce reduction of approximately 19 percent was substantially complete by end of September 30, 2025. These types of restructuring and cost reduction activities are complex and may result in unintended consequences and costs, such as unforeseen delays in the implementation of our strategic initiatives, business and operational disruptions, decreased employee morale and retention, loss of institutional knowledge and expertise, and potential impacts on financial reporting. The reduction in our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the impact of the restructuring plan or any other similar activities that we may undertake in the future, we may not achieve the expected cost savings and other expected benefits in the expected timeframe or at all, and our business, financial condition, and results of operations may be materially adversely affected.</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Subject to various spending levels approved by our Board of Directors, our management will have broad discretion in the use of the net proceeds from our capital raises, including proceeds from sales pursuant to our “at-the-market” sale agreement with Jefferies LLC, and may not use them effectively.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management will have discretion in the application of the net proceeds from our capital raises, including proceeds from sales pursuant to the 2025 Sale Agreement with Jefferies, which provides for the sale of up to $350.0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The use of our net operating loss carryforwards and research tax credits may be limited.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net operating loss carryforwards and any future research and development tax credits may expire and not be used. As of December 31, 2025, we had U.S. federal net operating loss carryforwards of approximately $1.7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Prior to December 31, 2025,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Recently enacted tax reform legislation in the U.S., changes to existing tax laws, or challenges to our tax positions could adversely affect our business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tax regimes to which we are subject or under which we operate are unsettled and may be subject to significant change. The tax rate applied is based on the estimated statutory rates in the UK as this is where our intangible assets, including our intellectual property, are domiciled, and as a result, we receive certain tax benefits. Any such changes to existing federal and state tax laws or international and U.S. corporate tax rates could adversely impact our business, results of operations, and financial position as the impact of recent tax legislation is uncertain.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recent years, various tax legislations were signed into law. On December 22, 2017, the Tax Cuts and Jobs Act of 2017, or the Tax Act, was signed into law, making significant changes to the Internal Revenue Code.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On July 4, 2025, the One Big Beautiful Bill Act, or the OBBBA, was enacted in the U.S. The OBBBA includes significant provisions, such as the permanent extension of certain expiring provisions of the Tax Act, modifications to the international tax framework and the restoration of favorable tax treatment for certain business provisions. The OBBBA has multiple effective dates, with certain provisions effective in 2025 and others implemented through 2027. The OBBBA has enacted, among others, changes to eligibility requirements for premium tax credits, which is expected to result in less coverage in the ACA’s health insurance marketplace, or Marketplace, over the next few years. The ACA premium tax credits expired at the end of 2025, which is expected to result in an additional loss of coverage for approximately an estimated 24 million people currently that were previously enrolled in insurance plans obtained through the Marketplace. In addition, the OBBBA has made other changes to the enrollment and eligibility requirements for Medicaid, which is expected to result in the loss of coverage for certain individuals currently enrolled in Medicaid programs. There is uncertainty regarding future legislative and regulatory changes and policies related to matters such as taxation and importation, including tariffs, and any such proposed or enacted regulations, taxes, or tariffs by the current or a future U.S. administration, Congress, or taxing and importation authorities in other jurisdictions could adversely impact the global economy and materially affect our tax obligations, tariff obligations, and operating results.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addition, U.S. federal, state, and local tax laws are extremely complex and subject to various interpretations. Although we believe that our tax estimates and positions are reasonable, including our decision to build the </w:t>
      </w:r>
      <w:r>
        <w:rPr>
          <w:rFonts w:ascii="Times New Roman;Times;serif" w:hAnsi="Times New Roman;Times;serif"/>
          <w:i/>
          <w:sz w:val="20"/>
        </w:rPr>
        <w:t>i</w:t>
      </w:r>
      <w:r>
        <w:rPr>
          <w:rFonts w:ascii="Times New Roman;Times;serif" w:hAnsi="Times New Roman;Times;serif"/>
          <w:sz w:val="20"/>
        </w:rPr>
        <w:t xml:space="preserve">CTC at the Navy Yard in Philadelphia in order to take advantage of the site’s designation as a Keystone Opportunity Zone, Keystone Opportunity Expansion Zone, or Keystone Opportunity Improvement Zone, or collectively a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 In addition, given our current net loss and net loss carryforwards, we may not be able to realize the full benefit of these tax advantages before they expire.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the Manufacturing and Commercialization of Our Products and Product Candidates</w:t>
      </w:r>
    </w:p>
    <w:p>
      <w:pPr>
        <w:pStyle w:val="TextBody"/>
        <w:bidi w:val="0"/>
        <w:spacing w:lineRule="auto" w:line="240" w:before="0" w:after="200"/>
        <w:ind w:left="0" w:right="0" w:firstLine="547"/>
        <w:jc w:val="left"/>
        <w:rPr>
          <w:rFonts w:ascii="Times New Roman;Times;serif" w:hAnsi="Times New Roman;Times;serif"/>
          <w:sz w:val="20"/>
        </w:rPr>
      </w:pPr>
      <w:bookmarkStart w:id="1781" w:name="_Hlk158054426"/>
      <w:bookmarkEnd w:id="1781"/>
      <w:r>
        <w:rPr>
          <w:rFonts w:ascii="Times New Roman;Times;serif" w:hAnsi="Times New Roman;Times;serif"/>
          <w:b/>
          <w:i/>
          <w:sz w:val="20"/>
        </w:rPr>
        <w:t>Even though our lead product Amtagvi</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is approved and commercialized, we may not become profitable.</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Our lead product, Amtagvi</w:t>
      </w:r>
      <w:r>
        <w:rPr>
          <w:rFonts w:ascii="Times New Roman;Times;serif" w:hAnsi="Times New Roman;Times;serif"/>
          <w:sz w:val="15"/>
        </w:rPr>
        <w:t>®</w:t>
      </w:r>
      <w:r>
        <w:rPr>
          <w:rFonts w:ascii="Times New Roman;Times;serif" w:hAnsi="Times New Roman;Times;serif"/>
          <w:sz w:val="20"/>
        </w:rPr>
        <w:t>, is initially targeting a small population of refractory patients that suffer from metastatic melanoma. Even with FDA approval of Amtagvi</w:t>
      </w:r>
      <w:r>
        <w:rPr>
          <w:rFonts w:ascii="Times New Roman;Times;serif" w:hAnsi="Times New Roman;Times;serif"/>
          <w:sz w:val="15"/>
        </w:rPr>
        <w:t>®</w:t>
      </w:r>
      <w:r>
        <w:rPr>
          <w:rFonts w:ascii="Times New Roman;Times;serif" w:hAnsi="Times New Roman;Times;serif"/>
          <w:sz w:val="20"/>
        </w:rPr>
        <w:t>, and even if we obtain significant market share, because the potential target population for Amtagvi</w:t>
      </w:r>
      <w:r>
        <w:rPr>
          <w:rFonts w:ascii="Times New Roman;Times;serif" w:hAnsi="Times New Roman;Times;serif"/>
          <w:sz w:val="15"/>
        </w:rPr>
        <w:t>®</w:t>
      </w:r>
      <w:r>
        <w:rPr>
          <w:rFonts w:ascii="Times New Roman;Times;serif" w:hAnsi="Times New Roman;Times;serif"/>
          <w:sz w:val="20"/>
        </w:rPr>
        <w:t xml:space="preserve">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w:t>
      </w:r>
      <w:r>
        <w:rPr>
          <w:rFonts w:ascii="Times New Roman;Times;serif" w:hAnsi="Times New Roman;Times;serif"/>
          <w:sz w:val="15"/>
        </w:rPr>
        <w:t>®</w:t>
      </w:r>
      <w:r>
        <w:rPr>
          <w:rFonts w:ascii="Times New Roman;Times;serif" w:hAnsi="Times New Roman;Times;serif"/>
          <w:sz w:val="20"/>
        </w:rPr>
        <w:t xml:space="preserve"> is an established product and there are competing products in development, the success of Proleukin</w:t>
      </w:r>
      <w:r>
        <w:rPr>
          <w:rFonts w:ascii="Times New Roman;Times;serif" w:hAnsi="Times New Roman;Times;serif"/>
          <w:sz w:val="15"/>
        </w:rPr>
        <w:t>®</w:t>
      </w:r>
      <w:r>
        <w:rPr>
          <w:rFonts w:ascii="Times New Roman;Times;serif" w:hAnsi="Times New Roman;Times;serif"/>
          <w:sz w:val="20"/>
        </w:rPr>
        <w:t xml:space="preserve"> is closely tied to Amtagvi</w:t>
      </w:r>
      <w:r>
        <w:rPr>
          <w:rFonts w:ascii="Times New Roman;Times;serif" w:hAnsi="Times New Roman;Times;serif"/>
          <w:sz w:val="15"/>
        </w:rPr>
        <w:t>®</w:t>
      </w:r>
      <w:r>
        <w:rPr>
          <w:rFonts w:ascii="Times New Roman;Times;serif" w:hAnsi="Times New Roman;Times;serif"/>
          <w:sz w:val="20"/>
        </w:rPr>
        <w:t xml:space="preserve"> and use with other cell therapies. An approval for a marketed product, such as Proleukin</w:t>
      </w:r>
      <w:r>
        <w:rPr>
          <w:rFonts w:ascii="Times New Roman;Times;serif" w:hAnsi="Times New Roman;Times;serif"/>
          <w:sz w:val="15"/>
        </w:rPr>
        <w:t>®</w:t>
      </w:r>
      <w:r>
        <w:rPr>
          <w:rFonts w:ascii="Times New Roman;Times;serif" w:hAnsi="Times New Roman;Times;serif"/>
          <w:sz w:val="20"/>
        </w:rPr>
        <w:t>, may be withdrawn by the FDA or another regulatory agency and disrupt both Proleukin</w:t>
      </w:r>
      <w:r>
        <w:rPr>
          <w:rFonts w:ascii="Times New Roman;Times;serif" w:hAnsi="Times New Roman;Times;serif"/>
          <w:sz w:val="15"/>
        </w:rPr>
        <w:t>®</w:t>
      </w:r>
      <w:r>
        <w:rPr>
          <w:rFonts w:ascii="Times New Roman;Times;serif" w:hAnsi="Times New Roman;Times;serif"/>
          <w:sz w:val="20"/>
        </w:rPr>
        <w:t xml:space="preserve"> and Amtagvi</w:t>
      </w:r>
      <w:r>
        <w:rPr>
          <w:rFonts w:ascii="Times New Roman;Times;serif" w:hAnsi="Times New Roman;Times;serif"/>
          <w:sz w:val="15"/>
        </w:rPr>
        <w:t>®</w:t>
      </w:r>
      <w:r>
        <w:rPr>
          <w:rFonts w:ascii="Times New Roman;Times;serif" w:hAnsi="Times New Roman;Times;serif"/>
          <w:sz w:val="20"/>
        </w:rPr>
        <w:t xml:space="preserve"> because of their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codependency. Additionally, Proleukin</w:t>
      </w:r>
      <w:r>
        <w:rPr>
          <w:rFonts w:ascii="Times New Roman;Times;serif" w:hAnsi="Times New Roman;Times;serif"/>
          <w:sz w:val="15"/>
        </w:rPr>
        <w:t>®</w:t>
      </w:r>
      <w:r>
        <w:rPr>
          <w:rFonts w:ascii="Times New Roman;Times;serif" w:hAnsi="Times New Roman;Times;serif"/>
          <w:sz w:val="20"/>
        </w:rPr>
        <w:t xml:space="preserve"> revenues are dependent upon continued use in manufacturing and clinical settings by Iovance and other cell therapy companies.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pStyle w:val="TextBody"/>
        <w:bidi w:val="0"/>
        <w:spacing w:before="0" w:after="200"/>
        <w:ind w:left="0" w:right="0" w:firstLine="547"/>
        <w:jc w:val="left"/>
        <w:rPr>
          <w:rFonts w:ascii="Times New Roman;Times;serif" w:hAnsi="Times New Roman;Times;serif"/>
          <w:sz w:val="20"/>
        </w:rPr>
      </w:pPr>
      <w:bookmarkStart w:id="1782" w:name="_Hlk157528981"/>
      <w:bookmarkEnd w:id="1782"/>
      <w:r>
        <w:rPr>
          <w:rFonts w:ascii="Times New Roman;Times;serif" w:hAnsi="Times New Roman;Times;serif"/>
          <w:sz w:val="20"/>
        </w:rPr>
        <w:t>Our products and product candidates are biologics and the process of manufacturing our products is complex, highly regulated, and subject to multiple risks. The manufacture of our products and product candidates involves complex processes, including harvesting tumor fragments from patients, isolating the T cells from the tumor fragments, multiplying the T cells to obtain the desired dose, and ultimately infusing the T 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Because our products and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Currently, our products and product candidates are manufactured at our internal facility, the </w:t>
      </w:r>
      <w:r>
        <w:rPr>
          <w:rFonts w:ascii="Times New Roman;Times;serif" w:hAnsi="Times New Roman;Times;serif"/>
          <w:i/>
          <w:sz w:val="20"/>
        </w:rPr>
        <w:t>i</w:t>
      </w:r>
      <w:r>
        <w:rPr>
          <w:rFonts w:ascii="Times New Roman;Times;serif" w:hAnsi="Times New Roman;Times;serif"/>
          <w:sz w:val="20"/>
        </w:rPr>
        <w:t>CTC, and by CMOs, using processes developed or modified by us or by our third-party research institution collaborators that we may not intend to use for more advanced clinical trials or commercialization. Gen 2 is the FDA-approved, commercial manufacturing process for Amtagvi</w:t>
      </w:r>
      <w:r>
        <w:rPr>
          <w:rFonts w:ascii="Times New Roman;Times;serif" w:hAnsi="Times New Roman;Times;serif"/>
          <w:sz w:val="15"/>
        </w:rPr>
        <w:t>®</w:t>
      </w:r>
      <w:r>
        <w:rPr>
          <w:rFonts w:ascii="Times New Roman;Times;serif" w:hAnsi="Times New Roman;Times;serif"/>
          <w:sz w:val="20"/>
        </w:rPr>
        <w:t xml:space="preserve"> and has been selected for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May 2019 we entered into a lease agreement to build a commercial-scale manufacturing facility, the </w:t>
      </w:r>
      <w:r>
        <w:rPr>
          <w:rFonts w:ascii="Times New Roman;Times;serif" w:hAnsi="Times New Roman;Times;serif"/>
          <w:i/>
          <w:sz w:val="20"/>
        </w:rPr>
        <w:t>i</w:t>
      </w:r>
      <w:r>
        <w:rPr>
          <w:rFonts w:ascii="Times New Roman;Times;serif" w:hAnsi="Times New Roman;Times;serif"/>
          <w:sz w:val="20"/>
        </w:rPr>
        <w:t>CTC, in Philadelphia, Pennsylvania for commercial and clinical production of autologous TIL products, including our product Amtagvi</w:t>
      </w:r>
      <w:r>
        <w:rPr>
          <w:rFonts w:ascii="Times New Roman;Times;serif" w:hAnsi="Times New Roman;Times;serif"/>
          <w:sz w:val="15"/>
        </w:rPr>
        <w:t>®</w:t>
      </w:r>
      <w:r>
        <w:rPr>
          <w:rFonts w:ascii="Times New Roman;Times;serif" w:hAnsi="Times New Roman;Times;serif"/>
          <w:sz w:val="20"/>
        </w:rPr>
        <w:t xml:space="preserve">. The </w:t>
      </w:r>
      <w:r>
        <w:rPr>
          <w:rFonts w:ascii="Times New Roman;Times;serif" w:hAnsi="Times New Roman;Times;serif"/>
          <w:i/>
          <w:sz w:val="20"/>
        </w:rPr>
        <w:t>i</w:t>
      </w:r>
      <w:r>
        <w:rPr>
          <w:rFonts w:ascii="Times New Roman;Times;serif" w:hAnsi="Times New Roman;Times;serif"/>
          <w:sz w:val="20"/>
        </w:rPr>
        <w:t>CTC is currently manufacturing TIL for our ongoing clinical trials and Amtagvi</w:t>
      </w:r>
      <w:r>
        <w:rPr>
          <w:rFonts w:ascii="Times New Roman;Times;serif" w:hAnsi="Times New Roman;Times;serif"/>
          <w:sz w:val="15"/>
        </w:rPr>
        <w:t>®</w:t>
      </w:r>
      <w:r>
        <w:rPr>
          <w:rFonts w:ascii="Times New Roman;Times;serif" w:hAnsi="Times New Roman;Times;serif"/>
          <w:sz w:val="20"/>
        </w:rPr>
        <w:t xml:space="preserve"> for commercial supply. Manufacturing performed by us is centralized at the </w:t>
      </w:r>
      <w:r>
        <w:rPr>
          <w:rFonts w:ascii="Times New Roman;Times;serif" w:hAnsi="Times New Roman;Times;serif"/>
          <w:i/>
          <w:sz w:val="20"/>
        </w:rPr>
        <w:t>i</w:t>
      </w:r>
      <w:r>
        <w:rPr>
          <w:rFonts w:ascii="Times New Roman;Times;serif" w:hAnsi="Times New Roman;Times;serif"/>
          <w:sz w:val="20"/>
        </w:rPr>
        <w:t xml:space="preserve">CTC, instead of manufacturing at various facilities. As of the first quarter of 2024, the </w:t>
      </w:r>
      <w:r>
        <w:rPr>
          <w:rFonts w:ascii="Times New Roman;Times;serif" w:hAnsi="Times New Roman;Times;serif"/>
          <w:i/>
          <w:sz w:val="20"/>
        </w:rPr>
        <w:t>i</w:t>
      </w:r>
      <w:r>
        <w:rPr>
          <w:rFonts w:ascii="Times New Roman;Times;serif" w:hAnsi="Times New Roman;Times;serif"/>
          <w:sz w:val="20"/>
        </w:rPr>
        <w:t>CTC facility was approved by the FDA for commercial manufacturing of Amtagvi</w:t>
      </w:r>
      <w:r>
        <w:rPr>
          <w:rFonts w:ascii="Times New Roman;Times;serif" w:hAnsi="Times New Roman;Times;serif"/>
          <w:sz w:val="15"/>
        </w:rPr>
        <w:t>®</w:t>
      </w:r>
      <w:r>
        <w:rPr>
          <w:rFonts w:ascii="Times New Roman;Times;serif" w:hAnsi="Times New Roman;Times;serif"/>
          <w:sz w:val="20"/>
        </w:rPr>
        <w:t xml:space="preserve">, and we successfully initiated commercial manufacturing and continue our capacity building and facility expansion activities to supply clinical and commercial TIL to meet demand. We expect our manufacturing facility will provide us with enhanced control of material supply for both clinical trials and the commercial market,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enable the more rapid implementation of process changes, and allow for better long-term margins. We have built capacity to potentially treat thousands of cancer patients annually. However, we may not be successful in finalizing the expansion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current manufacturing strategy involves the use of CMOs in conjunction with our internal manufacturing capacity at the </w:t>
      </w:r>
      <w:r>
        <w:rPr>
          <w:rFonts w:ascii="Times New Roman;Times;serif" w:hAnsi="Times New Roman;Times;serif"/>
          <w:i/>
          <w:sz w:val="20"/>
        </w:rPr>
        <w:t>i</w:t>
      </w:r>
      <w:r>
        <w:rPr>
          <w:rFonts w:ascii="Times New Roman;Times;serif" w:hAnsi="Times New Roman;Times;serif"/>
          <w:sz w:val="20"/>
        </w:rPr>
        <w:t xml:space="preserve">CTC. Currently our products and product candidates are manufactured internally at the </w:t>
      </w:r>
      <w:r>
        <w:rPr>
          <w:rFonts w:ascii="Times New Roman;Times;serif" w:hAnsi="Times New Roman;Times;serif"/>
          <w:i/>
          <w:sz w:val="20"/>
        </w:rPr>
        <w:t>i</w:t>
      </w:r>
      <w:r>
        <w:rPr>
          <w:rFonts w:ascii="Times New Roman;Times;serif" w:hAnsi="Times New Roman;Times;serif"/>
          <w:sz w:val="20"/>
        </w:rPr>
        <w:t xml:space="preserve">CTC and previously externally by Minaris Advanced Therapies, Inc., or Minaris, and the H. Lee Moffitt Cancer Center, or Moffitt. Additionally, we partner with American Red Cross, or ARC, to operate our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cell therapy manufacturers. The </w:t>
      </w:r>
      <w:r>
        <w:rPr>
          <w:rFonts w:ascii="Times New Roman;Times;serif" w:hAnsi="Times New Roman;Times;serif"/>
          <w:i/>
          <w:sz w:val="20"/>
        </w:rPr>
        <w:t>i</w:t>
      </w:r>
      <w:r>
        <w:rPr>
          <w:rFonts w:ascii="Times New Roman;Times;serif" w:hAnsi="Times New Roman;Times;serif"/>
          <w:sz w:val="20"/>
        </w:rPr>
        <w:t xml:space="preserve">CTC is an aseptic manufacturing facility that operates clean rooms for the production of TIL cell therapies, which are subject to contamination, labor, occupational safety, regulatory, climate, and environmental risks that could interfere with production. Any problems or delays we or our CMOs experience in preparing for commercial scale manufacturing of a product, product candidate, or component thereof may result, in the case of product candidates, a delay in the approval thereof or, in the case of products, may impair our ability to manufacture commercial quantities or such quantities at an acceptable cost, which could result in the delay, prevention, or impairment of clinical development of our product candidates and commercialization of our products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Moreover, while we are expanding our capabilities to enable more internal manufacturing, should we continue to use CMOs, we may not succeed in maintaining our relationships with CMOs or establishing relationships with additional or alternative CMOs. Our products and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Reliance on third-party manufacturers entails exposure to risks to which we would not be subject if we manufactured the products and product candidates exclusively by ourselves, including:</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negotiate manufacturing and quality agreements with third parties under commercially reasonable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day-to-day control over the manufacturing process for our product candidates as a result of using third-party manufacturers for all aspects of manufacturing activities;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control over the protection of our trade secrets and know-how from misappropriation or inadvertent disclosure;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or nonrenewal of manufacturing agreements with third parties in a manner or at a time that may be costly or damaging to us or result in delays in the development or commercialization of our products and/or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to the operations of our third-party manufacturers or suppliers caused by conditions unrelated to our business or operations, including the bankruptcy of the manufacturer or supplier;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or multi-national activities that are related to business activities outside of our scope, but may have an impact on a CMO’s ability to conduct business in a manner consistent with governmental or our regulatory and ethical standards;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synchronize operations and standards to ensure that all aspects of manufacturing are consistent without deviations across facilities.</w:t>
            </w:r>
          </w:p>
        </w:tc>
      </w:tr>
    </w:tbl>
    <w:p>
      <w:pPr>
        <w:pStyle w:val="TextBody"/>
        <w:bidi w:val="0"/>
        <w:spacing w:before="0" w:after="0"/>
        <w:ind w:left="0" w:right="0" w:hanging="0"/>
        <w:jc w:val="left"/>
        <w:rPr/>
      </w:pPr>
      <w:r>
        <w:rPr/>
        <w: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addition, the manufacturing process and facilities for any products and product candidates that we may develop at the </w:t>
      </w:r>
      <w:r>
        <w:rPr>
          <w:rFonts w:ascii="Times New Roman;Times;serif" w:hAnsi="Times New Roman;Times;serif"/>
          <w:i/>
          <w:sz w:val="20"/>
        </w:rPr>
        <w:t>i</w:t>
      </w:r>
      <w:r>
        <w:rPr>
          <w:rFonts w:ascii="Times New Roman;Times;serif" w:hAnsi="Times New Roman;Times;serif"/>
          <w:sz w:val="20"/>
        </w:rPr>
        <w:t>CTC or at our CMOs is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for our product candidates,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Although both the internal and external facilities were approved by the FDA for commercial manufacturing of Amtagvi</w:t>
      </w:r>
      <w:r>
        <w:rPr>
          <w:rFonts w:ascii="Times New Roman;Times;serif" w:hAnsi="Times New Roman;Times;serif"/>
          <w:sz w:val="15"/>
        </w:rPr>
        <w:t>®</w:t>
      </w:r>
      <w:r>
        <w:rPr>
          <w:rFonts w:ascii="Times New Roman;Times;serif" w:hAnsi="Times New Roman;Times;serif"/>
          <w:sz w:val="20"/>
        </w:rPr>
        <w:t>, there is no guarantee that we or our CMOs will be able to successfully pass all aspects of surveillance or pre-approval inspections by the FDA or other foreign regulatory authorities for Amtagvi</w:t>
      </w:r>
      <w:r>
        <w:rPr>
          <w:rFonts w:ascii="Times New Roman;Times;serif" w:hAnsi="Times New Roman;Times;serif"/>
          <w:sz w:val="15"/>
        </w:rPr>
        <w:t xml:space="preserve">® </w:t>
      </w:r>
      <w:r>
        <w:rPr>
          <w:rFonts w:ascii="Times New Roman;Times;serif" w:hAnsi="Times New Roman;Times;serif"/>
          <w:sz w:val="20"/>
        </w:rPr>
        <w:t>or future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internal manufacturing facilities or our CMOs’ manufacturing facilities may be unable to comply with our specifications, cGMP,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and/or product candidates to specifications acceptable to the FDA or other regulatory authorities, or in accordance with the strict regulatory requirements, we may not obtain or maintain the approvals we need to commercialize such products. Even after obtaining regulatory approval, in the case of our products, and even if we obtain regulatory approval, in the case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Manufacturing our products and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quality issues, or recently imposed tariffs, could adversely affect our ability to satisfy demand for our products or product candidates and impact our cost of goods for our products or product candidates, which in turn could adversely and materially affect our product sales and operating results or our ability to conduct clinical trials, either of which could significantly harm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Times;serif" w:hAnsi="Times New Roman;Times;serif"/>
          <w:i/>
          <w:sz w:val="20"/>
        </w:rPr>
        <w:t xml:space="preserve">ex vivo </w:t>
      </w:r>
      <w:r>
        <w:rPr>
          <w:rFonts w:ascii="Times New Roman;Times;serif" w:hAnsi="Times New Roman;Times;serif"/>
          <w:sz w:val="20"/>
        </w:rPr>
        <w:t>comparability studies and to collect additional data from patients prior to undertaking more advanced clinical trials.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Because our current products represent, and our other potential product candidates will represent novel approaches to the treatment of disease, there are many uncertainties regarding the development, the market acceptance, the third-party reimbursement coverage, and the commercial potential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and foreign regulatory authorities will require to be enrolled in the clinical trials in order to establish the safety, efficacy, purity and potency of immunotherapy products, or that the data generated in these clinical trials will be acceptable to the FDA and foreign regulatory authorities to support marketing approval. The FDA may take longer than usual to come to a decision on any BLA that we submit and may ultimately determine that there is not enough data, information, or experience with our product candidates to support an approval decision. The FDA and foreign regulatory authorities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There is no assurance that the approaches offered by our products will gain broad acceptance among doctors or patients or that governmental agencies, national healthcare systems,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selling price of the product, which may be further impacted by future price increases for our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Cell based therapies may not be eligible for insurance coverage due to reluctance by third party payors to cover the costs associated with such therapies. Payors may deny coverage or offer inadequate levels of reimbursement for these therapies if they determine that the product has not received appropriate clearances from the FDA or other government regulators or if they deem the therapies to be investigational or experimental, not medically necessary, or otherwise inappropriate. Although we may apply for special government programs and prepare the market for product approval, there is no way to ensure that HCPs, insurance companies, or other third parties will reimburse our product at an expeditious rate. Even if we obtain insurance coverage for our product from payors, there is no guarantee that third party payors will provide adequate coverage or reimbursement. Coverage at treatment centers will require payment for the total cost of care, which includes the costs of not only our product but also the costs of surgery, conditioning chemotherapy, and other staffing and hospitalization needs. Furthermore, coverage policies and reimbursement rates are subject to change. With respect to any coverage or reimbursement that may be provided, payors may seek to impose restrictions on coverage, pricing, and reimbursement levels to contain these costs. In some cases, we do not have long-term agreements with insurance companies but negotiate single-case agreements on a case-by-case basis to obtain prior authorization, coverage, and reimbursement for a particular case. If coverage and reimbursement are not available or are inadequate, ATCs and clinics may decide not to recommend our product, and there may be a slow uptake or variable or limited access, if at all, to our therapies.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and commercialize our product candidates.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TIL cell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No assurance can be given that the Gen 2 manufacturing process or other processes we have selected will be FDA compliant or more efficient and will lower the cost to manufacture TIL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limited experience in manufacturing our adoptive cell therapy product candidate on a commercial scale, as do our partners. As a result, we cannot give any assurance that the Gen 2 process or any future process that we select will be a manufacturing process that can produce our product candidates in compliance with the applicable regulatory requirements, at a cost or in quantities necessary to make them commercially viable. Moreover, we and our third-party manufacturers will have to continually adhere to current cGMP regulations enforced by the FDA and foreign regulatory authorities through facilities inspection programs. If our facilities or any of the facilities of these manufacturers cannot demonstrate adequate assurance of compliance with applicable standards during a pre-approval inspection, the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business entails a significant risk of product liability. If product liability lawsuits are brought against us, whether or not meritorious, we may incur substantial liabilities and may be required to limit or halt commercialization of our products and/or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face an inherent risk of product liability as a result of the clinical testing and manufacture of our product candidates for human trials, and we currently face an even greater risk as we commercialize products and engage in the quality testing and release of products. For example, we may be sued if our products and/or product candidates cause, are perceived, or alleged to cause injury or are found to be otherwise unsuitable during clinical testing, manufacturing, marketing, or sale, whether or not trial participants or patients are predisposed to adverse outcomes. Furthermore, if physicians and/or hospitals are not sufficiently trained in the use of our products or therapies, whether clinical or commercialized, they may misuse or ineffectively use our products or related products for our therapies, which may result in unsatisfactory patient outcomes or patient injury. Any such product liability claims may include allegations of defects in manufacturing, defects in design, defects in quality control measures, a failure to warn of dangers inherent in the product, negligence, strict liability, and/or a breach of warranties. Claims could also be asserted under state consumer protection acts. Large judgments have also been awarded in class action lawsuits based on therapeutics that had unanticipated side effects. If we cannot successfully defend ourselves against product liability claims, we may incur substantial liabilities or be required to limit or halt commercialization of our products and/or product candidates. Even a successful defense would require significant financial and management resources. Regardless of the merits or eventual outcome, liability claims may result in:</w:t>
      </w:r>
    </w:p>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or interrupted demand for our products and/or product candidates;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 or sites and potential termination of clinical trial sites or entire clinical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initiation of investigations by regulators (including investigation of the safety and effectiveness of our products, our manufacturing processes and facilities, or our marketing programs), refusal to approve marketing applications or supplements, warnings, and withdrawal or other limitations on product approvals;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prepare for and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clinical trial participants or patients;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restrictions on labeling, marketing, or promotions;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negative media attention;</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the price of our stock and overall value of our company;</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exhaustion of our available insurance coverage and our capital resources; and</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delay or inability to commercialize our product candidates or achieve adequate revenue from our products.</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and/or scope of coverage to protect against potential product liability claims could prevent or inhibit the commercialization of products we develop, alone or with corporate collaborators. Our insurance policies may also have various exclusions and/or deductibles, and we may be subject to a product liability or bodily injury claim for which we have no coverage or for which the insurance carrier disputes the scope of coverage. Furthermore, any product liability claim brought against us, with or without merit, could result in the increase of our product liability insurance rates or the inability to secure coverage in the future. Although we currently have product liability insurance that we believe is appropriate for our stage of development, we may need to obtain higher levels to cover marketing any of our approved products. In addition, we may have to pay amounts awarded by a court or negotiated in a settlement that exceed our coverage limitations or that are not covered by our insurance, and we may not have, or be able to obtain, sufficient capital to pay such amounts. We anticipate that we will need to increase our insurance coverage as we commence additional clinical trials and as we commercialize product candidates that have been or may be approved. If we determine that it is prudent to increase our product liability coverage, we may be unable to obtain such increased coverage on acceptable terms, or at all. The market for insurance coverage is increasingly expensive, and the costs of insurance coverage will increase as our clinical programs and commercialization efforts increase in size. Furthermore, even if our agreements with corporate collaborators entitle us to indemnification against product liability losses, such indemnification may not be available or adequate should any claim arise.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claims against us, regardless of their merit, could severely harm our financial condition, strain our management and other resources, adversely affect or eliminate the prospects for commercialization or sales of a product that is the subject of any such claim, and could have a material adverse effect on our business, financial condition, results of operations,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from non-profit institutions.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safer, more convenient, or more effective immunotherapies and other therapeutic products;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therapies that are less expensive or have better reimbursement from private or public payors;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the market more rapidly, reducing the potential sales of our products; or</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superior proprietary positions.</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bookmarkStart w:id="1783" w:name="_Hlk158054619"/>
      <w:bookmarkEnd w:id="1783"/>
      <w:r>
        <w:rPr>
          <w:rFonts w:ascii="Times New Roman;Times;serif" w:hAnsi="Times New Roman;Times;serif"/>
          <w:sz w:val="20"/>
        </w:rPr>
        <w:t xml:space="preserve">Due to the promising clinical therapeutic effect of competitor therapies in clinical trials, we anticipate substantial direct competition from other organizations developing therapies in our commercial and pipeline target indications. In particular, we expect to compete with other new therapies for our lead indications developed by companies such as BioNtech, Bristol-Myers Squibb, Daiichi Sankyo, Eisai, Genmab, Immunocore, IO Biotech, Merck, Moderna, Pfizer, Regeneron Pharmaceuticals, and Replimune. We also may compete with other T cell therapies in development, including therapies based on genetically engineered T cell receptors rendered reactive against tumor-associated antigens prior to their administration, other genetically engineered TIL products, and TIL products designed to be reactive to specific neoantigens, by companies such as AbelZeta Pharma, Alaunos Therapeutics, Biosyngen, GRIT Biotechnology, Immatics, Immunocore, Intima Bioscience, KSQ Therapeutics, Marker Therapeutics, Obsidian Therapeutics, and others. To date, these technologies have been primarily applicable to hematologic malignancies, but their application in solid tumor indications may create competition with us. We may also face competition from companies offering immunotherapy treatments or from companies developing novel IL-2 treatments.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Universities and public and private research institutions around the world are also potential competitors. While these universities and public and private research institutions primarily have educational objectives, they may develop proprietary technologies that lead to other approved therapies by the FDA, European Commission, or other regulatory agencies, or that secure patent protection that we may need for the development of our technologies and products. </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Our lead product Amtagvi</w:t>
      </w:r>
      <w:r>
        <w:rPr>
          <w:rFonts w:ascii="Times New Roman;Times;serif" w:hAnsi="Times New Roman;Times;serif"/>
          <w:sz w:val="15"/>
        </w:rPr>
        <w:t>®</w:t>
      </w:r>
      <w:r>
        <w:rPr>
          <w:rFonts w:ascii="Times New Roman;Times;serif" w:hAnsi="Times New Roman;Times;serif"/>
          <w:sz w:val="20"/>
        </w:rPr>
        <w:t xml:space="preserve"> is an approved therapy for the treatment of metastatic melanoma and a candidate for the treatment of other cancers. Currently, there are numerous companies that are developing various alternate treatments for melanoma and other cancers, including patients that have progressed after prior treatment with checkpoint inhibitors and chemotherapy. Accordingly, Amtagvi</w:t>
      </w:r>
      <w:r>
        <w:rPr>
          <w:rFonts w:ascii="Times New Roman;Times;serif" w:hAnsi="Times New Roman;Times;serif"/>
          <w:sz w:val="15"/>
        </w:rPr>
        <w:t>®</w:t>
      </w:r>
      <w:r>
        <w:rPr>
          <w:rFonts w:ascii="Times New Roman;Times;serif" w:hAnsi="Times New Roman;Times;serif"/>
          <w:sz w:val="20"/>
        </w:rPr>
        <w:t xml:space="preserve"> faces significant competition in the melanoma and other cancer treatment space from multiple companies. Even after obtaining regulatory approval for Amtagvi</w:t>
      </w:r>
      <w:r>
        <w:rPr>
          <w:rFonts w:ascii="Times New Roman;Times;serif" w:hAnsi="Times New Roman;Times;serif"/>
          <w:sz w:val="15"/>
        </w:rPr>
        <w:t>®</w:t>
      </w:r>
      <w:r>
        <w:rPr>
          <w:rFonts w:ascii="Times New Roman;Times;serif" w:hAnsi="Times New Roman;Times;serif"/>
          <w:sz w:val="20"/>
        </w:rPr>
        <w:t>,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projections regarding the market opportunities for our products and product candidates may not be accurate, and the actual market for our products and product candidates may be smaller than we estimate.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projections of both the number of people who have the advanced cancers we are targeting, as well as the subset of people with metastatic or unresectable cancers and who have the potential to benefit from treatment with our products or product candidates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products and product candidates may be limited or may not be amenable to treatment with our products or product candidates and may also be limited by the cost of our treatments for patients, any future increase to such costs, and the reimbursement of those treatment costs by third-party payors. For instance, we expect Amtagvi</w:t>
      </w:r>
      <w:r>
        <w:rPr>
          <w:rFonts w:ascii="Times New Roman;Times;serif" w:hAnsi="Times New Roman;Times;serif"/>
          <w:sz w:val="15"/>
        </w:rPr>
        <w:t>®</w:t>
      </w:r>
      <w:r>
        <w:rPr>
          <w:rFonts w:ascii="Times New Roman;Times;serif" w:hAnsi="Times New Roman;Times;serif"/>
          <w:sz w:val="20"/>
        </w:rPr>
        <w:t xml:space="preserve"> to initially target a small patient population that suffers from metastatic melanoma. Furthermore, we are also responsible for the manufacturing costs of products for patients that may have a tumor resection but ultimately do not receive an infusion, in which case we may incur manufacturing expenses without being able to recognize any revenue. Even if we obtain significant market share for our products or product candidates, because the potential target populations are small, we may never achieve profitability without obtaining regulatory approval for additional indications.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currently have a commercial team focused on our commercial strategy, but we do not have a large commercial infrastructure for the marketing, sale, and distribution of biopharmaceutical products. In order to commercialize our products, we must continue to build our marketing, sales, and distribution capabilities or make arrangements with third parties to perform these services, which will take time and require significant financial expenditures, and we may not be successful in doing so. In addition, we rely on one or more third-party distributors for the commercial sale of our products. It may be difficult to pivot from our current distributors of biopharmaceutical products in the event that any agreements with such third-party distributors are terminated. If we need to enter into alternative arrangements, this could adversely affect our business. Furthermore,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to marketing our product, we will need current and future ATCs both inside and outside the U.S. that are prepared and have the capacity and experience to administer our therapies to patients. Even if we are able to obtain approval for a product candidate in a country or region, we may not be able to approve enough treatment centers for the provision of our product to a broad patient population. The number of ATCs we onboard to administer our product may fluctuate and affect our product launch, and even if we onboard a large number of ATCs, this does not ensure the uptake of our products. Additionally, certain areas do not have hospitals with the facilities to safely administer our therapy. Accordingly, we may only be able to launch our products with a limited number of ATCs, which could ultimately reduce the uptake of our products. Although we have a team allocated to authorize and monitor our ATCs, substantial resources and investment from us in each treatment center may be required. Additionally, the treatment center onboarding process can be complicated and requires extensive training, technical equipment, and coordination of processes. Once authorized, ATCs will be required to ensure that their training, facilities, and treatment capabilities are adequately maintained.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Although we have developed a commercial infrastructure, in the event we are unable to continue to develop a successful commercial infrastructure, we may not be able to commercialize our current or future product candidates, which would limit our ability to generate product revenues. Factors that may inhibit our efforts to commercialize our current or future products and product candidates and generate significant product revenues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health epidemic or pandemic occurs it may negatively impact our ability to establish commercial operations, educate, and interact with healthcare professionals, and successfully launch our product on a timely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sales personnel to obtain access to physicians or physicians do not prescribe our current or future product candidates;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effectively oversee a geographically dispersed sales and marketing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time associated with the initial and ongoing training of sales and marketing personnel on legal and regulatory compliance matters and monitoring their actions;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secure adequate or any coverage and reimbursement by government and private health plans;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the products are approved and the claims that we may make for the products;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distribution or use restrictions, contained in the products’ approved labeling;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and use restrictions imposed by the FDA or to which we agree as part of a mandatory REMS or voluntary risk management plan;</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sales or marketing personnel who fail to comply with the applicable legal and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lack of complementary products to be offered by sales personnel, which may put us at a competitive disadvantage relative to companies with more extensive product lines;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costs and expenses associated with an independent sales and marketing organization or engaging a contract sales organization.</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our products or product candidates do not achieve broad market acceptance, the revenues that we generate from their sales will be limited.</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Until the closing of the Proleukin</w:t>
      </w:r>
      <w:r>
        <w:rPr>
          <w:rFonts w:ascii="Times New Roman;Times;serif" w:hAnsi="Times New Roman;Times;serif"/>
          <w:sz w:val="15"/>
        </w:rPr>
        <w:t>®</w:t>
      </w:r>
      <w:r>
        <w:rPr>
          <w:rFonts w:ascii="Times New Roman;Times;serif" w:hAnsi="Times New Roman;Times;serif"/>
          <w:sz w:val="20"/>
        </w:rPr>
        <w:t xml:space="preserve"> acquisition in May 2023, we had never commercialized a product candidate for any indication. Even after our products and product candidates are approved by the appropriate regulatory authorities for marketing and sale, they may not gain acceptance among physicians, patients, third-party payors, and others in the medical community. If any product or product candidate for which we obtain regulatory approval does not gain an adequate level of market acceptance, we may not generate significant product revenues or become profitable. Market acceptance of our products and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Physicians and their patients may likewise make decisions about therapies based on cost and insurance coverage and reimbursement. Such reimbursement may be impacted by our ability to enter into single-case agreements (in the absence of a longer term agreement) with insurance companies, and the absence of any agreement or inadequate coverage or reimbursement may require patients to pay from their own funds, but the costs of our products may be prohibitive in such cases.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Efforts to educate the medical community and third-party payors on the benefits of our products and product candidates may require significant resources and may not be successful. If any of our products or product candidates does not achieve an adequate level of market acceptance, we may not generate significant revenues, and we may not become profitable. The degree of market acceptance of any of our products and product candidates will depend on a number of factors, including:</w:t>
      </w:r>
    </w:p>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of our products and product candidates;</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adverse events associated with such products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indications for which the products are approved and the approved claims that we may make for the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the approved product’s FDA-required labeling, including potential limitations or warnings for such products that may be more restrictive than other competitive products;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for the targeted indications for such products and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difficulty of administration of such products and product candidates;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treatment versus economic and clinical benefit in relation to alternative treatments or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adequate coverage or reimbursement by third parties, such as insurance companies and other healthcare payors, and by government healthcare programs, including Medicare and Medicaid;</w:t>
            </w:r>
          </w:p>
        </w:tc>
      </w:tr>
    </w:tbl>
    <w:tbl>
      <w:tblPr>
        <w:tblW w:w="8511" w:type="dxa"/>
        <w:jc w:val="left"/>
        <w:tblInd w:w="0" w:type="dxa"/>
        <w:tblLayout w:type="fixed"/>
        <w:tblCellMar>
          <w:top w:w="28" w:type="dxa"/>
          <w:left w:w="28" w:type="dxa"/>
          <w:bottom w:w="28" w:type="dxa"/>
          <w:right w:w="28" w:type="dxa"/>
        </w:tblCellMar>
      </w:tblPr>
      <w:tblGrid>
        <w:gridCol w:w="124"/>
        <w:gridCol w:w="25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strength of our marketing and distribution of such products and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efficacy, and other potential advantages over, and availability of, alternative treatments already used or that may later be approved for any of our intended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use restrictions imposed by the FDA with respect to such products and product candidates or to which we agree as part of a mandatory REMS or voluntary risk management plan;</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such products and product candidates, as well as competitive products;</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such products and product candidates for sale at competitive prices;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strength of our third-party manufacturer and supplier support;</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other new products for the same indications;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about the product or favorable publicity about competitive products; and</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product liability claims.</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bookmarkStart w:id="1784" w:name="_Hlk158054715"/>
      <w:bookmarkEnd w:id="1784"/>
      <w:r>
        <w:rPr>
          <w:rFonts w:ascii="Times New Roman;Times;serif" w:hAnsi="Times New Roman;Times;serif"/>
          <w:sz w:val="20"/>
        </w:rPr>
        <w:t>Our efforts to educate the medical community and third-party payors on the benefits of our products and product candidates may require significant resources and may never be successful. Even if the medical community accepts that our products and product candidates are safe and effective for their approved indications and third-party payors provide coverage and reimbursement for the same, physicians and patients may not immediately be receptive to such products or product candidates and may be slow to adopt them as an accepted treatment of the approved indications. If our current or future products and product candidates are approved but do not achieve an adequate level of acceptance among physicians, patients, and third-party payors, we may not generate meaningful revenues from our product candidates, and we may not become profitable.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products and product candidates may face competition sooner than anticipated.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enactment of the Biologics Price Competition and Innovation Act, or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products and product candidates may qualify for the BPCIA’s 12-year period of exclusivity. However, there is a risk that the FDA will not consider our products and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will need to obtain approval of any proposed proprietary branded product names, and any failure or delay associated with such approval may adversely affect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name we intend to use for our products and product candidates will require approval from the FDA and foreign regulatory authorities regardless of whether we have secured a formal trademark registration, including from the U.S. Patent and Trademark Office, or USPTO. The FDA and foreign regulatory authorities typically conduct a review of proposed product names, including an evaluation of the potential for confusion with other product names. The FDA and foreign regulatory authorities may also object to a product name if they believe the name inappropriately implies medical claims or contributes to an overstatement of efficacy. If the FDA or a foreign regulatory authority objects to any of our proposed proprietary product names, we may be required to adopt alternative names for our products and/or product candidates. If we adopt alternative names, we would lose the benefit of any existing trademark applications for such product and/or product candidate and may be required to expend significant additional resources in an effort to identify a suitable product name that would qualify under applicable trademark laws, not infringe the existing rights of third parties, and be acceptable to the FDA and foreign regulatory authorities. We may be unable to build a successful brand identity for a new trademark in a timely manner or at all, which would limit our ability to commercialize our products and product candidates.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As a condition of biologic licensing, the FDA and foreign regulatory authorities are authorized to require that sponsors of approved BLAs implement various post-market requirements, including REMS and Phase 4 studies. For example, we reached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agreement with the FDA regarding a confirmatory trial to support the conversion from accelerated to full approval of Amtagvi</w:t>
      </w:r>
      <w:r>
        <w:rPr>
          <w:rFonts w:ascii="Times New Roman;Times;serif" w:hAnsi="Times New Roman;Times;serif"/>
          <w:sz w:val="15"/>
        </w:rPr>
        <w:t>®</w:t>
      </w:r>
      <w:r>
        <w:rPr>
          <w:rFonts w:ascii="Times New Roman;Times;serif" w:hAnsi="Times New Roman;Times;serif"/>
          <w:sz w:val="20"/>
        </w:rPr>
        <w:t xml:space="preserve"> in post-anti-PD-1 advanced melanoma, which we refer to as TILVANCE-301. The randomized Phase 3 TILVANCE-301 trial has been ongoing since the fourth quarter of 2022. If we receive approval of additional product candidates, the FDA and foreign regulatory authorities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products and product candidates.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will need to grow the size and capabilities of our organization, and we may experience difficulties in managing this growth.</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recruiting, integrating, maintaining, and motivating additional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our internal development efforts effectively, including the clinical and FDA review process for our product candidates, while complying with our contractual obligations to contractors and other third parties; and</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improving our operational, financial and management controls, reporting systems, and procedures.</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Moreover, in August 2025, management approved a strategic restructuring plan with an associated reduction in workforce of approximately 19 percent as a result of a review of current strategic priorities, resource allocation, and cost reduction intended to reduce operating costs, streamline operations and extend our cash runway. This reduction in our workforce may also make retention of our current personnel both more important and more challenging. The workforce reduction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retain third-party service providers to perform a variety of functions related to the sale and distribution of our current or future products,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be unable to successfully or sufficiently expand our manufacturing capacity to meet demand for our products and product candidates.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As noted above, we have limited experience in internal manufacturing of our adoptive cell therapy products and product candidates on a commercial scale, as do our partners. Currently our products and product candidates are manufactured internally at our </w:t>
      </w:r>
      <w:r>
        <w:rPr>
          <w:rFonts w:ascii="Times New Roman;Times;serif" w:hAnsi="Times New Roman;Times;serif"/>
          <w:i/>
          <w:sz w:val="20"/>
        </w:rPr>
        <w:t>i</w:t>
      </w:r>
      <w:r>
        <w:rPr>
          <w:rFonts w:ascii="Times New Roman;Times;serif" w:hAnsi="Times New Roman;Times;serif"/>
          <w:sz w:val="20"/>
        </w:rPr>
        <w:t>CTC facility and other third-party manufacturers. In January 2026, we ended manufacturing activities at Minaris and centralized manufacturing of Amtagvi</w:t>
      </w:r>
      <w:r>
        <w:rPr>
          <w:rFonts w:ascii="Times New Roman;Times;serif" w:hAnsi="Times New Roman;Times;serif"/>
          <w:sz w:val="15"/>
        </w:rPr>
        <w:t>®</w:t>
      </w:r>
      <w:r>
        <w:rPr>
          <w:rFonts w:ascii="Times New Roman;Times;serif" w:hAnsi="Times New Roman;Times;serif"/>
          <w:sz w:val="20"/>
        </w:rPr>
        <w:t xml:space="preserve"> and our investigational TIL cell therapies at our </w:t>
      </w:r>
      <w:r>
        <w:rPr>
          <w:rFonts w:ascii="Times New Roman;Times;serif" w:hAnsi="Times New Roman;Times;serif"/>
          <w:i/>
          <w:sz w:val="20"/>
        </w:rPr>
        <w:t>i</w:t>
      </w:r>
      <w:r>
        <w:rPr>
          <w:rFonts w:ascii="Times New Roman;Times;serif" w:hAnsi="Times New Roman;Times;serif"/>
          <w:sz w:val="20"/>
        </w:rPr>
        <w:t xml:space="preserve">CTC facility. There can be no assurance that our efforts to centralize manufacturing at the </w:t>
      </w:r>
      <w:r>
        <w:rPr>
          <w:rFonts w:ascii="Times New Roman;Times;serif" w:hAnsi="Times New Roman;Times;serif"/>
          <w:i/>
          <w:sz w:val="20"/>
        </w:rPr>
        <w:t>i</w:t>
      </w:r>
      <w:r>
        <w:rPr>
          <w:rFonts w:ascii="Times New Roman;Times;serif" w:hAnsi="Times New Roman;Times;serif"/>
          <w:sz w:val="20"/>
        </w:rPr>
        <w:t xml:space="preserve">CTC facility will succeed. Scale-up of manufacturing may require additional validation studies, including capacity demonstration and/or comparability studies, each of which are subject to regulatory review, potential inspection, and approval. In addition, if the </w:t>
      </w:r>
      <w:r>
        <w:rPr>
          <w:rFonts w:ascii="Times New Roman;Times;serif" w:hAnsi="Times New Roman;Times;serif"/>
          <w:i/>
          <w:sz w:val="20"/>
        </w:rPr>
        <w:t>i</w:t>
      </w:r>
      <w:r>
        <w:rPr>
          <w:rFonts w:ascii="Times New Roman;Times;serif" w:hAnsi="Times New Roman;Times;serif"/>
          <w:sz w:val="20"/>
        </w:rPr>
        <w:t>CTC facility is unable to meet production requirements, we may need to identify and qualify new contract manufacturers, which could result in additional costs and delays in meeting demand for Amtagvi</w:t>
      </w:r>
      <w:r>
        <w:rPr>
          <w:rFonts w:ascii="Times New Roman;Times;serif" w:hAnsi="Times New Roman;Times;serif"/>
          <w:sz w:val="15"/>
        </w:rPr>
        <w:t>®</w:t>
      </w:r>
      <w:r>
        <w:rPr>
          <w:rFonts w:ascii="Times New Roman;Times;serif" w:hAnsi="Times New Roman;Times;serif"/>
          <w:sz w:val="20"/>
        </w:rPr>
        <w:t xml:space="preserve"> and our product candidates. Any significant delay in our ability to meet demand could have a material adverse effect on our business, financial condition and results of operations.</w:t>
      </w:r>
    </w:p>
    <w:p>
      <w:pPr>
        <w:pStyle w:val="TextBody"/>
        <w:bidi w:val="0"/>
        <w:spacing w:lineRule="auto" w:line="240" w:before="0" w:after="0"/>
        <w:ind w:left="0" w:right="0" w:firstLine="547"/>
        <w:jc w:val="left"/>
        <w:rPr>
          <w:rFonts w:ascii="Times New Roman;Times;serif" w:hAnsi="Times New Roman;Times;serif"/>
          <w:sz w:val="20"/>
        </w:rPr>
      </w:pPr>
      <w:r>
        <w:rPr>
          <w:rFonts w:ascii="Times New Roman;Times;serif" w:hAnsi="Times New Roman;Times;serif"/>
          <w:sz w:val="20"/>
        </w:rPr>
        <w:t xml:space="preserve">Any expansion of our internal and external manufacturing capability will also require us to invest substantial additional funds to hire and retain the technical personnel who have the necessary manufacturing experience. As a result, we may not be able to successfully or sufficiently increase the manufacturing capacity for our products and product candidates or modify our manufacturing processes. If we are unable to successfully increase the manufacturing capacity for a product or product candidate (as a result of lack of approval from, or capacity limitations imposed by, the FDA, or otherwise), the resulting capacity limitations could have a material adverse effect on our results of operations and financial condition. In addition, if we are unable to successfully or sufficiently increase the manufacturing capacity at the </w:t>
      </w:r>
      <w:r>
        <w:rPr>
          <w:rFonts w:ascii="Times New Roman;Times;serif" w:hAnsi="Times New Roman;Times;serif"/>
          <w:i/>
          <w:sz w:val="20"/>
        </w:rPr>
        <w:t>i</w:t>
      </w:r>
      <w:r>
        <w:rPr>
          <w:rFonts w:ascii="Times New Roman;Times;serif" w:hAnsi="Times New Roman;Times;serif"/>
          <w:sz w:val="20"/>
        </w:rPr>
        <w:t>CTC facility to meet demand in a timely or economic manner, or at all, we may be dependent upon the performance and capacity of third-party manufacturers. Accordingly, we face risks of capacity limitations of, difficulties with, increased costs of, and interruptions in performance by third-party manufacturers, the occurrence of which could negatively impact the availability, launch, and/or sales of our products in the future, as well as on our results of operations and financial condition. While we have agreements in place with such third-party manufacturers, we have limited influence over their actual performance and control only certain aspects of their activities. The failure of these third parties to successfully carry out their contractual duties or meet expected deadlines or quality standards could substantially harm our business. Moreover, these agreements might terminate for a variety of reasons. If we fail to enter into alternative arrangements, this could further delay our product development and adversely affect our business. For example, BI carries out the processing, manufacturing, and supply of Proleukin</w:t>
      </w:r>
      <w:r>
        <w:rPr>
          <w:rFonts w:ascii="Times New Roman;Times;serif" w:hAnsi="Times New Roman;Times;serif"/>
          <w:sz w:val="15"/>
        </w:rPr>
        <w:t>®</w:t>
      </w:r>
      <w:r>
        <w:rPr>
          <w:rFonts w:ascii="Times New Roman;Times;serif" w:hAnsi="Times New Roman;Times;serif"/>
          <w:sz w:val="20"/>
        </w:rPr>
        <w:t xml:space="preserve"> pursuant to a manufacturing and supply agreement, which includes a two-year notice of termination provision. In the event that such notice of termination is given,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00"/>
        <w:ind w:left="0" w:right="0" w:hanging="0"/>
        <w:jc w:val="left"/>
        <w:rPr>
          <w:rFonts w:ascii="Times New Roman;Times;serif" w:hAnsi="Times New Roman;Times;serif"/>
          <w:sz w:val="20"/>
        </w:rPr>
      </w:pPr>
      <w:r>
        <w:rPr>
          <w:rFonts w:ascii="Times New Roman;Times;serif" w:hAnsi="Times New Roman;Times;serif"/>
          <w:sz w:val="20"/>
        </w:rPr>
        <w:t>it may be unlikely that we execute a new manufacturing and supply agreement with a manufacturer to run the processing, manufacturing, and supply of Proleukin</w:t>
      </w:r>
      <w:r>
        <w:rPr>
          <w:rFonts w:ascii="Times New Roman;Times;serif" w:hAnsi="Times New Roman;Times;serif"/>
          <w:sz w:val="15"/>
        </w:rPr>
        <w:t>®</w:t>
      </w:r>
      <w:r>
        <w:rPr>
          <w:rFonts w:ascii="Times New Roman;Times;serif" w:hAnsi="Times New Roman;Times;serif"/>
          <w:sz w:val="20"/>
        </w:rPr>
        <w:t xml:space="preserve"> within that time frame.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the Development of Our Product Candidates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depend on the success of our product candidates and cannot guarantee that these product candidates will successfully complete development, receive regulatory approval, or be successfully commercialized.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currently have two products approved for commercial sale. We have invested a significant portion of our efforts and financial resources in the development of our current product and/or product candidates and expect that we will continue to invest heavily in our current product candidates, as well as in any future product candidates we may develop. Our business depends on the successful development and commercialization of our product candidates. Our ability to generate revenues in the future is substantially dependent on our ability to develop, obtain regulatory approval for, and then successfully commercialize our product candidates. We currently generate no revenue from the sale of any products that are in development, and we may never be able to develop or commercialize these potential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any future pandemic or epidemic.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not permitted to market or promote any of our product candidates before we receive regulatory approval from the FDA or comparable foreign regulatory authorities, and we may never receive such regulatory approval for many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Our commercial products and investigational therapies will rely heavily on our ability to train centers and the centers’ ability to choose suitable patients and deliver a 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Prior to our completion of a rolling BLA submission for lifileucel in March 2023 and its acceptance by the FDA in May 2023 and accelerated approval in February 2024,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cell therapies.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approved for marketing by applicable regulatory authorities, our ability to generate revenues from our product candidates will depend on our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our product candidates competitively such that third-party and government reimbursement leads to broad product adoption;</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prepare a broad network of clinical sites (</w:t>
            </w:r>
            <w:r>
              <w:rPr>
                <w:rFonts w:ascii="Times New Roman;Times;serif" w:hAnsi="Times New Roman;Times;serif"/>
                <w:b w:val="false"/>
                <w:i/>
                <w:sz w:val="20"/>
              </w:rPr>
              <w:t>e.g.</w:t>
            </w:r>
            <w:r>
              <w:rPr>
                <w:rFonts w:ascii="Times New Roman;Times;serif" w:hAnsi="Times New Roman;Times;serif"/>
                <w:b w:val="false"/>
                <w:i w:val="false"/>
                <w:caps w:val="false"/>
                <w:smallCaps w:val="false"/>
                <w:sz w:val="20"/>
              </w:rPr>
              <w:t>, ATCs) for administration of our product;</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 and monitor sites for product delivery and consistent flow of appropriate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market demand for our product candidates through our own marketing and sales activities, as well as through other arrangements with third parties marketing or selling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regulatory approval for the targeted patient population(s) and claims that are necessary or desirable for successful marketing;</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the necessary regulatory approvals to deliver the therapies to a sufficiently sized patient population;</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commercialize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product candidates through CMOs or in our own manufacturing facility in sufficient quantities and at acceptable quality and manufacturing cost to meet commercial demand at launch and thereafter;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agreements with wholesalers, distributors, pharmacies, and group purchasing organizations on commercially reasonable terms;</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patent and trade secret protection and regulatory exclusivity for our product candidates;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compliance with applicable laws, regulations, and guidance specific to commercialization, including interactions with health care professionals, patient advocacy groups, and communication of health care economic information to payors and formularies;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market acceptance of our product candidates by patients, the medical community, and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appropriate coverage and reimbursement for our product candidates, including at rates that will enable the market to adopt our products and enable sites to deliver the entire therapy to patients;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third party logistics providers that will successfully distribute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distribution and logistics network capable of product storage within our specifications and regulatory guidelines, and further capable of timely product delivery to commercial clinical sites;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compete with other therapies or competitors;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launch, ensure that our product will be used as directed and that additional unexpected safety risks will not arise.</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Development of a product candidate intended for use in combination with an already approved product may present more or different challenges than development of a product candidate for use as a single agent.</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received accelerated approval from the FDA, and we are currently developing lifileucel in clinical trials as part of a regimen which uses lymphodepletion and IL-2. We and our collaborators are also developing TIL cell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were granted Fast Track designation by the FDA for lifileucel in metastatic melanoma, metastatic cervical cancer, second-line advanced non-small cell lung cancer, and soft tissue sarcomas, as well as for lifileucel in combination with pembrolizumab in advanced melanoma. We were granted breakthrough therapy designation, or BTD, for lifileucel for metastatic cervical cancer and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the conventional FDA procedures and does not assure ultimate marketing approval by the FDA. In addition, the FDA may later decide that the products no longer meet the designation conditions.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While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received orphan drug designation, or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 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Clinical Trials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face risks due to the need to rely on third parties, including clinical trial sites.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heavily reliant on third parties to conduct our clinical trials. We have a limited history of conducting clinical trials and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Furthermore, clinical trials may be delayed or otherwise may be more difficult to execute in the future.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that they will progress according to our plans or expectations, or that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planned clinical trials will be initiated or initiated in a timely manner, progress according to our plans or expectations, or be completed on time, if they are completed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Large-scale clinical trials require significant financial and management resources, and reliance on third-party clinical investigators, CROs, CMOs, or consultants. Relying on third-party clinical investigators, CROs, or CMOs may force us to encounter delays and challenges that are outside of our control. For example, 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our clinical trials must be conducted with product candidates that were produced under cGMP.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 In the EU, revised transparency rules for clinical trials became applicable with the launch of the new Clinical Trials Information System, or CTIS. The CTIS is the online system for the regulatory submission, authorization, and supervision of clinical trials conducted in the EU/European Economic Area, or EEA, under Regulation (EU) 536/2014. Data of all clinical trials conducted in the EU/EEA – including their results – must be submitted to the CTIS and are made publicly available, unless a specific exemption applies.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also rely on other third parties to manufacture and ship our products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b/>
          <w:i/>
          <w:sz w:val="20"/>
        </w:rPr>
        <w:t>We may encounter substantial delays in our clinical trials, not be able to conduct our</w:t>
      </w:r>
      <w:r>
        <w:rPr>
          <w:rFonts w:ascii="Times New Roman;Times;serif" w:hAnsi="Times New Roman;Times;serif"/>
          <w:sz w:val="20"/>
        </w:rPr>
        <w:t xml:space="preserve"> </w:t>
      </w:r>
      <w:r>
        <w:rPr>
          <w:rFonts w:ascii="Times New Roman;Times;serif" w:hAnsi="Times New Roman;Times;serif"/>
          <w:b/>
          <w:i/>
          <w:sz w:val="20"/>
        </w:rPr>
        <w:t>clinical trials on the timelines we expect, and be required to conduct additional clinical trials or modify current or future clinical trials based on feedback we receive from the FDA and foreign regulatory authorities.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completed enrollment in the pivotal clinical trial for melanoma, C-144-01, and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We obtained BLA approval on February 16, 2024. We plan to initiate clinical trials in new indications and new cohorts in existing clinical trials. For example, we plan to commence a registrational trial in previously treated advanced undifferentiated pleomorphic sarcoma, or UPS, and dedifferentiated liposarcoma, or DDLPS, in the second quarter of 2026.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submissions to the FDA or permit competitors to obtain approvals that may alter our BLA filing strategy. Additionally, temporary or permanent clinical holds could be placed on our clinical trials for a variety of reasons. For instance, on December 22, 2023, the FDA placed a clinical hold on the IOV-LUN-202 trial in response to a reported Grade 5 (fatal) serious adverse event potentially related to the non-myeloablative lymphodepletion pre-conditioning regimen, and we paused enrollment and the lifileucel treatment regimen for new patients in IOV-LUN-202 during the clinical hold. On March 4, 2024, the FDA lifted the partial clinical hold on the IOV-LUN-202 trial, permitting us to resume patient enrollment. A failure of one or more clinical trials can occur at any stage of testing, and our future clinical studies may not be successful. Events that may prevent successful or timely initiation or completion of clinical development, or product approval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 consensus or inability to obtain agreement with regulatory agencies on clinical trial design;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not accept data from studies with clinical trial sites in foreign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or failure to reach an agreement on acceptable terms with prospective CROs and clinical trial sites, the terms of which can be subject to extensive negotiation and may vary significantly among different CROs and clinical trial sites;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obtaining required IRB approval at each clinical trial site;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imposition of a temporary or permanent clinical hold, suspensions or terminations by regulatory agencies, IRBs, or us for various reasons, including noncompliance with regulatory requirements or a finding that the participants are being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exposed to unacceptable health risks, undesirable side effects, or other unexpected characteristics of the product candidate, or due to findings of undesirable effects caused by a biologically or mechanistically similar therapeutic or therapeutic candidate;</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recruiting suitable patients to participate in our clinical trials;</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in adding new investigators or clinical trial sites, or withdrawal of clinical trial sites from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change in strategic direction for an indication resulting from differences in results between cohorts in a clinical trial, such as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CROs, clinical trial sites, patients, or other third parties, or us to adhere to clinical trial requirements, including regulatory, contractual or protocol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perform in accordance with the FDA’s cGCP requirements or applicable regulatory guidelines in other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required for clinical trials of our product candidates may be larger than we anticipate or enrollment in these clinical trials may be slower than we anticipate, potentially affecting our timelines for approval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dropping out of a clinical trial;</w:t>
            </w:r>
          </w:p>
        </w:tc>
      </w:tr>
    </w:tbl>
    <w:tbl>
      <w:tblPr>
        <w:tblW w:w="10026" w:type="dxa"/>
        <w:jc w:val="left"/>
        <w:tblInd w:w="0" w:type="dxa"/>
        <w:tblLayout w:type="fixed"/>
        <w:tblCellMar>
          <w:top w:w="28" w:type="dxa"/>
          <w:left w:w="28" w:type="dxa"/>
          <w:bottom w:w="28" w:type="dxa"/>
          <w:right w:w="28" w:type="dxa"/>
        </w:tblCellMar>
      </w:tblPr>
      <w:tblGrid>
        <w:gridCol w:w="124"/>
        <w:gridCol w:w="256"/>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adverse events associated with the product candidate that are viewed to outweigh its potential benefits;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that require amending or submitting new clinical protocols to regulatory authorities and IRBs, and which may cause delays in our development programs, or changes to regulatory review times;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regulatory questions or disagreements regarding interpretations of data and results, or new information may emerge regarding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on which a clinical development plan was based, which may require new or additional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our product candidates being greater than we anticipate, or we may have insufficient funds for a clinical trial or to pay the substantial user fees required by the FDA upon the filing of a BLA;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demonstrate that a product candidate provides an advantage over current standards of care or current or future competitive therapies in development;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changes to the therapeutics or their regulatory status which we are administering in combination with our product candidates;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patient enrollment due to potential health epidemics and pandemics;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foreign regulatory authorities may fail to approve or subsequently find fault with the manufacturing processes or our manufacturing facilities for clinical and future commercial supplies;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comparable regulatory authorities may take longer than we anticipate when making a decision on our product candidates and prolonged government shutdowns, inadequate funding, loss of employees, changes in regulations or policies by the new U.S. administration or other disruptions may occur at the FDA, and thus, final FDA approval of our product candidates may be further delayed;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our manufacturing processes to our CMOs or other larger-scale facilities operated by a CMO or by us and delays or failures by our CMOs or us to make any necessary changes to such manufacturing process;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prolonged government shutdowns, inadequate funding, loss of employees, changes in regulations or policies by the new U.S. administration or other disruptions were to occur at the FDA, final FDA approval of our product candidates may be delayed. The ability of the FDA and other government agencies to review and approve new or modified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For example, over the last several years, the U.S. government has shut down several times and certain regulatory agencies, such as the FDA and SEC, have had to furlough critical employees and stop critical activities. In addition, government funding of agencies on which our operations may rely, including those that fund research and development activities, is subject to the political process, which is inherently fluid and unpredictable. Such disruptions at the FDA and other agencies may also increase the time necessary for new drugs or modifications to approved drugs to be reviewed and/or approved by necessary government agencies, which would adversely affect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regulatory approval, and will increase our future costs and expenses.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regulatory approval or notification, may not have their desired effect, or the FDA or foreign regulatory authorities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It may take longer and cost more to complete our clinical trials than we project, or we may not be able to complete them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and difficulties in identifying and enrolling patients who meet clinical trial eligibility criteria, may cause significant delays. We may not commence or complete clinical trials involving any of our products as projected or may not conduct them successfully.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We are currently conducting multiple company-sponsored clinical trials to assess the overall safety and efficacy of Iovance TIL monotherapy and TIL combinations in patients with solid tumor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regulatory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Furthermore, the timely completion of clinical trials in accordance with their protocols depends, among other things, on our ability to enroll a sufficient number of patients who remain in the clinical trial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Iovance TIL cell therapies are manufactured for commercial use and clinical trials internally at the </w:t>
      </w:r>
      <w:r>
        <w:rPr>
          <w:rFonts w:ascii="Times New Roman;Times;serif" w:hAnsi="Times New Roman;Times;serif"/>
          <w:i/>
          <w:sz w:val="20"/>
        </w:rPr>
        <w:t>i</w:t>
      </w:r>
      <w:r>
        <w:rPr>
          <w:rFonts w:ascii="Times New Roman;Times;serif" w:hAnsi="Times New Roman;Times;serif"/>
          <w:sz w:val="20"/>
        </w:rPr>
        <w:t>CTC. If we fail to commence or complete, or experiences delays in, manufacturing our products and product candidates, our planned clinical trials will be delayed, which will adversely affect our stock price and our ability to conduct our business as currently planned.</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Clinical trials are expensive, time-consuming and difficult to design and implement, and our clinical trial costs may be higher than for more conventional therapeutic technologies or drug products.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Clinical trials are expensive and difficult to design and implement, in part because they are subject to rigorous regulatory requirements. Because our product candidates include candidates based on new cell therapy technologies and manufactured on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clinical trials may fail to demonstrate adequately the safety and efficacy of our product candidates, which would prevent or delay regulatory approval and commercialization.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clinical trials of our product candidates are, and the manufacturing and marketing of our products is, subject to extensive and rigorous review and regulation by numerous government authorities in the U.S. and in other countries where we intend to test and market our product candidates. Before obtaining additional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reported preliminary results for clinical trials of our product candidates, including TIL cell therapy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encounter difficulties enrolling patients in our clinical trials, our clinical development activities could be delayed or otherwise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tbl>
      <w:tblPr>
        <w:tblW w:w="4176" w:type="dxa"/>
        <w:jc w:val="left"/>
        <w:tblInd w:w="0" w:type="dxa"/>
        <w:tblLayout w:type="fixed"/>
        <w:tblCellMar>
          <w:top w:w="28" w:type="dxa"/>
          <w:left w:w="28" w:type="dxa"/>
          <w:bottom w:w="28" w:type="dxa"/>
          <w:right w:w="28" w:type="dxa"/>
        </w:tblCellMar>
      </w:tblPr>
      <w:tblGrid>
        <w:gridCol w:w="124"/>
        <w:gridCol w:w="256"/>
        <w:gridCol w:w="3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nature of the patient population;</w:t>
            </w:r>
          </w:p>
        </w:tc>
      </w:tr>
    </w:tbl>
    <w:tbl>
      <w:tblPr>
        <w:tblW w:w="4311" w:type="dxa"/>
        <w:jc w:val="left"/>
        <w:tblInd w:w="0" w:type="dxa"/>
        <w:tblLayout w:type="fixed"/>
        <w:tblCellMar>
          <w:top w:w="28" w:type="dxa"/>
          <w:left w:w="28" w:type="dxa"/>
          <w:bottom w:w="28" w:type="dxa"/>
          <w:right w:w="28" w:type="dxa"/>
        </w:tblCellMar>
      </w:tblPr>
      <w:tblGrid>
        <w:gridCol w:w="124"/>
        <w:gridCol w:w="25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severity of the disease under investigation;</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eligibility criteria defined in the protocol;</w:t>
            </w:r>
          </w:p>
        </w:tc>
      </w:tr>
    </w:tbl>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clinical trial population required for analysis of the clinical trial’s primary endpoints;</w:t>
            </w:r>
          </w:p>
        </w:tc>
      </w:tr>
    </w:tbl>
    <w:tbl>
      <w:tblPr>
        <w:tblW w:w="4251" w:type="dxa"/>
        <w:jc w:val="left"/>
        <w:tblInd w:w="0" w:type="dxa"/>
        <w:tblLayout w:type="fixed"/>
        <w:tblCellMar>
          <w:top w:w="28" w:type="dxa"/>
          <w:left w:w="28" w:type="dxa"/>
          <w:bottom w:w="28" w:type="dxa"/>
          <w:right w:w="28" w:type="dxa"/>
        </w:tblCellMar>
      </w:tblPr>
      <w:tblGrid>
        <w:gridCol w:w="124"/>
        <w:gridCol w:w="25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proximity of patients to clinical trial sites;</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the clinical trial;</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clinical trial investigators with the appropriate competencies and experience;</w:t>
            </w:r>
          </w:p>
        </w:tc>
      </w:tr>
    </w:tbl>
    <w:tbl>
      <w:tblPr>
        <w:tblW w:w="8781" w:type="dxa"/>
        <w:jc w:val="left"/>
        <w:tblInd w:w="0" w:type="dxa"/>
        <w:tblLayout w:type="fixed"/>
        <w:tblCellMar>
          <w:top w:w="28" w:type="dxa"/>
          <w:left w:w="28" w:type="dxa"/>
          <w:bottom w:w="28" w:type="dxa"/>
          <w:right w:w="28" w:type="dxa"/>
        </w:tblCellMar>
      </w:tblPr>
      <w:tblGrid>
        <w:gridCol w:w="124"/>
        <w:gridCol w:w="256"/>
        <w:gridCol w:w="8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efforts to facilitate timely enrollment in clinical trials and the effectiveness of recruiting publicity;</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referral practices of physicians;</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competing clinical trials for similar therapies or other new therapeutics not involving cell-based immunotherapy;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investigators enrolling patients who do not meet the enrollment criteria, requiring the inclusion of additional patients in the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limiting our access to patients who would otherwise be eligible for enrollment, including treatment-naïve patients who may be more likely to seek standard of care therapies available at local treatment centers rather than enroll in a clinical trial at a larger hospital;</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new indications for existing therapies or approval of new therapies in general;</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patient consents;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commercial product and product candidates may cause undesirable side effects or have other properties that could halt their clinical development, prevent their regulatory approval, limit their commercial potential, or result in significant negative consequences.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cell therapy in larger patient populations, such as in patients that have not yet been treated with other therapies or have not yet progressed on other therapies.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Treatment-related side effects could also affect patient recruitment or the ability of enrolled subjects to complete our clinical trials or result in potential product liability claims. Such toxicities, which may arise from TIL cell therapy in general, including co-therapies, may include, for example, thrombocytopenia, chills, anemia, pyrexia, febrile neutropenia, diarrhea, neutropenia, vomiting, hypotension, and dyspnea. In addition, failure to manage toxicities, adverse events or side effects and to take recommended or other precautions may result in deaths or harm to patients. Furthermore, harm to patients may not be appropriately recognized or managed by the treating medical staff, because treatments related to personalized cell therapy are not normally encountered in the general patient population and by medical personnel. Any of these occurrences may harm our business, financial condition and prospects significantly.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will be unable to commercialize our products if our trials are not successful.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and efficacy results in various human clinical trials reported in scientific and medical literature may not be indicative of results we obtain in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test results, we or our collaborators may abandon projects that we might previously have believed to be promising;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collaborators or regulators, may suspend or terminate clinical trials if the participating subjects or patients are being exposed to unacceptable health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our potential products have may not be the desired effects or may include undesirable side effects or other characteristics that preclude regulatory approval or limit their commercial use if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manufacturers may not meet the necessary standards for the production of the product candidates or may not be able to supply the product candidates in a sufficient quantity;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authorities may find that our clinical trial design or conduct does not meet the applicable approval requirements; and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as well as clinical trials from our competitors, may diminish our anticipated revenues due to overlapping patient populations, costs and payor coverage, or patient needs.</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and foreign regulatory authorities of our TIL-based product candidates for the treatment of solid tumors. The clinical trials for our products under development may not be completed on schedule and the FDA and foreign regulatory authorities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Third Parties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not be able to license new technology from third parties.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or prevent our development of such other products.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required to pay substantial royalties and lump sum benchmark payments under our license or acquisition agreements with the NIH, Novartis, Clinigen, and Cellectis, and we must meet certain milestones to maintain our license rights.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Under our license or acquisition agreements with the NIH,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dependent on third parties to support our research, development, and supplement our internal manufacturing activities and, therefore, are subject to the efforts of these parties and our ability to successfully collaborate with these third parties.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i</w:t>
      </w:r>
      <w:r>
        <w:rPr>
          <w:rFonts w:ascii="Times New Roman;Times;serif" w:hAnsi="Times New Roman;Times;serif"/>
          <w:sz w:val="20"/>
        </w:rPr>
        <w:t>CTC currently supplies the majority of commercial Amtagvi</w:t>
      </w:r>
      <w:r>
        <w:rPr>
          <w:rFonts w:ascii="Times New Roman;Times;serif" w:hAnsi="Times New Roman;Times;serif"/>
          <w:sz w:val="15"/>
        </w:rPr>
        <w:t>®</w:t>
      </w:r>
      <w:r>
        <w:rPr>
          <w:rFonts w:ascii="Times New Roman;Times;serif" w:hAnsi="Times New Roman;Times;serif"/>
          <w:sz w:val="20"/>
        </w:rPr>
        <w:t xml:space="preserve"> and clinical lifileucel with additional capacity previously supplemented by a CMO, and certain clinical trials for our next-generation investigational TIL cell therapies are supported by CMOs.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and/or commercialization efforts may be delayed, thereby delaying the submission of products for regulatory approval or the market introduction and subsequent sales of our products and product candidates. Any such delay may lower our revenues and potential profitability.</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addition, in order to supplement our own efforts to improve TIL manufacturing and develop TIL cell therapies in new indications in clinical trials, we currently work and collaborate with government and academic research institutions, medical institutions, and corporate partners such as the NCI, Moffitt, Memorial Sloan Kettering Cancer Center, or MSKCC, Cellectis, and Novartis. For example, in February 2026, we announced positive initial data from a pilot clinical trial led by MSKCC and supported by us of lifileucel in patients with advanced UPS or DDLPS who were refractory to at least one prior line of systemic therapy.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Disagreements between parties to a collaboration arrangement regarding clinical development and commercialization matters can lead to delays in the development process or commercialization of the applicable product and/or product candidate and, in some cases, termination of the collaboration arrangement. These disagreements can be difficult to resolve if neither of the parties has final decision-making authority under the collaboration agreement.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perform their obligations as expected;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pursue development of product candidates and/or commercialization of products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fail to make timely regulatory submissions for a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comply with all applicable regulatory requirements or may fail to report safety data in accordance with all applicable regulatory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could independently develop, or develop with third parties, products that compete directly or indirectly with our products and/or product candidates if the collaborators believe that competitive products are more likely to be successfully developed or can be commercialized under terms that are more economically attractive than ours;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and/or product candidates discovered in collaboration with us may be viewed by our collaborators as competitive with their own products and/or product candidates, which may cause collaborators to cease to devote resources to the commercialization of our products and/or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collaborator with marketing and distribution rights to one or more of our product candidates that achieve regulatory approval may not commit sufficient resources to the marketing and distribution of such product candidate or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disagreements with collaborators, including disagreements over proprietary rights, contract interpretation, or the preferred course of development, might cause delays or termination of the research, development, or commercialization of products and/or product candidates, might lead to additional responsibilities for us with respect to products and/or product candidates, or might result in litigation or arbitration, any of which would be time consuming and expensive;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infringe the intellectual property rights of third parties, which may expose us to litigation and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collaborators may be involved in a business combination, resulting in the decreased emphasis or termination of development or commercialization of any product candidate subject to the collaboration agreement;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a collaboration agreement may make it more difficult to attract new collaborators and our and our products’ or product candidates’ reputation in the medical, business, and financial communities could be adversely affected.</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any third-party collaborator breaches or terminates its agreement with us or fails to conduct its activities in a timely manner, the commercialization of our product candidates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No assurance can be given that we will be able to successfully collaborate with our partners as anticipated and that our current or future collaborations will be completed as contemplated, support the regulatory approval of our current product candidates, or result in any viable additional products and/or product candidates. For instance, to the extent that these collaborators conduct their studies with manufacturing processes that are different from ours or with a product that is different from ours, the results generated from their studies may not be seen in our current or future studies that employ our manufacturing processes, and the results generated from their studies may not support approval of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are unable to obtain or maintain suitable collaborators on a timely basis, on acceptable terms, or at all, we may have to curtail the development of a product candidate, reduce or delay its development program or one or more of our other development programs, delay commercialization of products and/or product candidates or reduce the scope of any sales or marketing activities, or increase our expenditures and undertake development or commercialization activities at our own expense.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to our own research and process development efforts, we seek to collaborate with government, academic research institutions and corporate partners to improve TIL manufacturing and to develop TIL cell therapies for new indications. We continue to collaborate with the NCI, NIH, Moffitt, MDACC, and others to evaluate new solid tumor, including soft tissue sarcomas, and hematologic indications for TIL cell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products and product candidates, may be incorrect or unreliable, or may have a negative impact on us if the results of such studies are imputed to our products or proposed indications, even if such imputation is improper. For example, we have entered into collaborations with academic partners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 There may also be delays or other limitations on our activities as a result of the inability of these entities to expedite our priorities in the product, facility, or regulatory approval process.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Other Risks Related to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current line of business, and the biotechnology industry in which we operate, makes it difficult to evaluate our business plan and our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face the problems, expenses, difficulties, complications, and delays normally associated with a commercial biopharmaceutical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commercial biopharmaceutical companies with significant pre-commercial assets involved in the rapidly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evolving field of immunotherapy. We also face the risks associated with the shift from development to commercialization of new products based on innovative technologies. There can be no assurance that we will be successful in developing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internal computer systems, or those used by our CROs or other contractors or consultants, may fail or suffer security breaches.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Despite the implementation of security measures, our internal computer systems and those of our CROs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maintain a specialized information technology system for tracking chain of custody and chain of identity for TIL cell therapy patients. Like other autologous cell therapies, this is extremely important for patient safety and is a requirement outlined in our BLA submission. This requires us to store and maintain patient specific health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impair our ability to deliver patient care.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dependent on information technology, systems, infrastructure and data.</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directly or through our third-party service providers, may adopt, use or incorporate artificial intelligence, or AI, technology and capabilities 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While there is currently no comprehensive federal legislation in the U.S. that regulates the development or use of AI, several governmental agencies in the U.S. and non-U.S. jurisdictions have proposed or enacted laws regulating AI technologies by setting out principles intended to guide AI design and deployment for the public and private sectors and signaling the increase in government involvement and regulation over AI technologies. The significant increase in companies that have incorporated the use of AI in their businesses has also increased the SEC’s focus on AI-washing as a key enforcement priority. In May 2024, the European Union legislators approved the EU Artificial Intelligence Act, or the EU AI Act, which establishes a comprehensive, risk-based governance framework for AI in the EU market. The majority of the substantive requirements of the EU AI Act are expected to apply from August 2, 2026.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 in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business could be adversely affected by the effects of health epidemics and pandemics, in regions where we or third parties on which we rely have significant manufacturing facilities, concentrations of clinical trial sites or other business operations.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Quarantines, shelter-in-place, and similar government orders, or the perception that such orders, shutdowns or other restrictions on the conduct of business operations could occur, related to pandemics or the spread of other infectious diseases could impact personnel at third-party manufacturing facilities in the U.S. and other countries, or the availability or cost of materials, which would disrupt our supply chain. In addition, our clinical trials may be affected by health epidemics and pandemics. Clinical site initiation, patient enrollment and patient monitoring may be delayed due to prioritization of hospital resources toward health epidemics and pandemics.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HCPs, may have heightened exposure to viruses that cause pandemics and epidemics, and such exposure may adversely impact our clinical trial operations. Health epidemics,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continue to monitor the impact, if any, of health epidemics and pandemics, on our current and future operations, including our regulatory filing timelines and strategy, as well as our preparation for commercial launch. As with the COVID-19 pandemic, 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restrictions regarding travel and face to face interactions or constraints on resources, either by us or our contractors, including our CMOs, may negatively impact our regulatory strategy or commercial launch preparations. Health epidemics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failure to comply with international data protection laws and regulations could lead to government enforcement actions and significant penalties against us and adversely impact our operating results.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EU member states and other foreign jurisdictions, including Switzerland, the UK,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regulations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failure to comply with state and/or national data protection laws and regulations could lead to government enforcement actions and significant penalties against us, and adversely impact our operating results.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There are numerous other laws and legislative and regulatory initiatives at the federal and state levels addressing privacy and security concerns, and some state privacy laws apply more broadly than the HIPPA (as amended by the HITECH Act), or HIPAA, and associated regulations. For example, the California Consumer Privacy Act, or CCPA, which went into effect January 1, 2020, and as amended and expanded by the California Privacy Rights Act, or CPRA, which went into effect on January 1, 2023, among other things, create new data privacy obligations for covered companies and provides new privacy rights to California residents, including the right to opt out of certain disclosures of their information. They also created a private right of action with statutory damages for certain data breaches, thereby potentially increasing risks associated with a data breach.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Although the California law includes limited exceptions, including for certain information collected as part of clinical trials as specified in the law, it may regulate or impact our processing of personal information depending on the context. Additional modifications may continue to be made to the CPRA by the California legislature and their interpretation by regulators may continue to evolve. Other states have begun to pass similar data protection laws, which may be amended from time to time. Therefore, the effects of these state data protection laws are significant and will likely require us to modify our data processing practices and may cause us to incur substantial costs and expenses to comply.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Normal"/>
        <w:bidi w:val="0"/>
        <w:spacing w:before="0" w:after="0"/>
        <w:jc w:val="left"/>
        <w:rPr>
          <w:sz w:val="4"/>
          <w:szCs w:val="4"/>
        </w:rPr>
      </w:pPr>
      <w:r>
        <w:rPr>
          <w:sz w:val="4"/>
          <w:szCs w:val="4"/>
        </w:rPr>
      </w:r>
      <w:bookmarkStart w:id="1785" w:name="_Hlk101204850"/>
      <w:bookmarkStart w:id="1786" w:name="_Hlk101204850"/>
      <w:bookmarkEnd w:id="1786"/>
    </w:p>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operating expenses and cash requirements;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 of additional indebtedness or contingent liabilities;</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our equity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assimilation of operations, intellectual property and products of an acquired company or product, including difficulties associated with integrating new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diversion of our management’s attention from our existing product programs and initiatives in pursuing such a strategic merger or acquisition;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retention of key employees, the loss of key personnel, and uncertainties in our ability to maintain key business relationships;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associated with the other party to such a transaction, including the prospects of that party and their existing products or product candidates and regulatory approvals;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have global operations, which expose us to additional risks, and any adverse event could have a material adverse effect on our results of operations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operations outside the U.S. have recently expanded. Risks inherent in conducting a global business include:</w:t>
      </w:r>
    </w:p>
    <w:tbl>
      <w:tblPr>
        <w:tblW w:w="8376" w:type="dxa"/>
        <w:jc w:val="left"/>
        <w:tblInd w:w="0" w:type="dxa"/>
        <w:tblLayout w:type="fixed"/>
        <w:tblCellMar>
          <w:top w:w="28" w:type="dxa"/>
          <w:left w:w="28" w:type="dxa"/>
          <w:bottom w:w="28" w:type="dxa"/>
          <w:right w:w="28" w:type="dxa"/>
        </w:tblCellMar>
      </w:tblPr>
      <w:tblGrid>
        <w:gridCol w:w="124"/>
        <w:gridCol w:w="256"/>
        <w:gridCol w:w="7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medical reimbursement policies and programs and pricing restrictions in key markets;</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regulatory requirements that could restrict our ability to manufacture and sell our products in key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tariffs, and import or export licensing requirements, including the imposition of trade sanctions or similar restrictions by the U.S. or other governments;</w:t>
            </w:r>
          </w:p>
        </w:tc>
      </w:tr>
    </w:tbl>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fluctuations;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diminished protection of intellectual property in some countries; and</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nationalization and expropriation.</w:t>
            </w:r>
          </w:p>
        </w:tc>
      </w:tr>
    </w:tbl>
    <w:p>
      <w:pPr>
        <w:pStyle w:val="TextBody"/>
        <w:bidi w:val="0"/>
        <w:spacing w:before="0" w:after="0"/>
        <w:ind w:left="0" w:right="0" w:hanging="0"/>
        <w:jc w:val="left"/>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there may be changes to our business if there is instability, disruption, or destruction in a significant geographic region, regardless of cause, including war, terrorism, riot, civil insurrection or social unrest; and natural or man-made disasters, including famine, flood, fire, earthquake, storm, or disease. Events like these, such as the ongoing war between Russia and Ukraine, rising conflict in the Middle East and other global conflicts, could result in material adverse effects on macroeconomic conditions, currency exchange rates and financial markets, and may adversely affect our business, results of operations,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Furthermore, changes in regulations and policies by the new U.S. administration, including increases in tariffs, and the resulting political and economic uncertainty in the U.S. may also impact our operations as well as the financial markets and the global economy.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currently operating in a period of economic uncertainty and capital markets disruption, which has been significantly impacted by geopolitical instability, ongoing military conflicts, and inflation. Our business, financial condition and results of operations could be materially adversely affected by any negative impact on the global economy and capital markets resulting from the conflicts in Ukraine, the Middle East and other global conflicts, geopolitical tensions, or inflation.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results of operations could be adversely affected by general conditions in the global economy, the global financial markets and global political conditions. The financial markets and the global economy may also be adversely affected by the current or anticipated impact of military conflict, including the ongoing conflicts in Ukraine, the Middle East and other global conflicts, terrorism or other geopolitical events, political tensions between the U.S. and China, or inflation. For example, the BIOSECURE Act was signed into law in December 2025 as part of the Fiscal Year 2026 National Defense Authorization Act. The BIOSECURE Act restricts U.S. government agencies from purchasing or obtaining certain biotechnology equipment or services from “biotechnology companies of concern,” or BCCs; entering, extending or renewing a contract with any entity using biotechnology equipment or services provided by a BCC to perform a government contract; or granting government funds or loans for such biotechnology equipment or services provided by the BCC. The BIOSECURE Act may have significant implications for U.S. companies with government contracts that obtain biotechnology equipment or services from a BCC, including contracts with the Department of Veterans Affairs, and any related impact on reimbursement under Medicaid or Medicare Part B. Sanctions imposed by the U.S. and other countries in response to such conflicts and political tensions may also adversely impact our business, the financial markets and the global economy, and any economic countermeasures by the affected countries or others could exacerbate market and economic instability, and lead to instability and lack of liquidity in capital markets, potentially making it more difficult for us to obtain additional funds.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Although our business has not been materially impacted by the ongoing military conflicts in Ukraine or the Middle East, geopolitical tensions, tariffs, or inflation to date, it is impossible to predict the extent to which our operations, or those of our suppliers and manufacturers, will be impacted in the short and long term, or the ways in which the conflict may impact our business. The extent and duration of the conflicts in Ukraine, the Middle East and other global conflicts, geopolitical tensions, inflation, sanctions and resulting market disruptions are impossible to predict, but could be substantial. Any such disruptions may also magnify the impact of other risks described herein.</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exposed to fluctuations in currency exchange rates that could negatively impact our financial results and cash flows.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With the acquisition of Proleukin</w:t>
      </w:r>
      <w:r>
        <w:rPr>
          <w:rFonts w:ascii="Times New Roman;Times;serif" w:hAnsi="Times New Roman;Times;serif"/>
          <w:sz w:val="15"/>
        </w:rPr>
        <w:t>®</w:t>
      </w:r>
      <w:r>
        <w:rPr>
          <w:rFonts w:ascii="Times New Roman;Times;serif" w:hAnsi="Times New Roman;Times;serif"/>
          <w:sz w:val="20"/>
        </w:rPr>
        <w:t xml:space="preserve"> in May 2023 and with the future commercialization of Amtagvi</w:t>
      </w:r>
      <w:r>
        <w:rPr>
          <w:rFonts w:ascii="Times New Roman;Times;serif" w:hAnsi="Times New Roman;Times;serif"/>
          <w:sz w:val="15"/>
        </w:rPr>
        <w:t xml:space="preserve">® </w:t>
      </w:r>
      <w:r>
        <w:rPr>
          <w:rFonts w:ascii="Times New Roman;Times;serif" w:hAnsi="Times New Roman;Times;serif"/>
          <w:sz w:val="20"/>
        </w:rPr>
        <w:t>in other markets, a portion of our business will be conducted outside the U.S. Furthermore, we are required to make certain future payments under the Proleukin</w:t>
      </w:r>
      <w:r>
        <w:rPr>
          <w:rFonts w:ascii="Times New Roman;Times;serif" w:hAnsi="Times New Roman;Times;serif"/>
          <w:sz w:val="15"/>
        </w:rPr>
        <w:t>®</w:t>
      </w:r>
      <w:r>
        <w:rPr>
          <w:rFonts w:ascii="Times New Roman;Times;serif" w:hAnsi="Times New Roman;Times;serif"/>
          <w:sz w:val="20"/>
        </w:rPr>
        <w:t xml:space="preserve"> acquisition agreement that are denominated in non-U.S. dollars, including future deferred consideration and earnout payments based on Proleukin</w:t>
      </w:r>
      <w:r>
        <w:rPr>
          <w:rFonts w:ascii="Times New Roman;Times;serif" w:hAnsi="Times New Roman;Times;serif"/>
          <w:sz w:val="15"/>
        </w:rPr>
        <w:t>®</w:t>
      </w:r>
      <w:r>
        <w:rPr>
          <w:rFonts w:ascii="Times New Roman;Times;serif" w:hAnsi="Times New Roman;Times;serif"/>
          <w:sz w:val="20"/>
        </w:rPr>
        <w:t xml:space="preserve">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business, cash flow, results of operations, financial condition, and prospects. Our primary exposure to movements in foreign currency exchange rates currently relates to non-U.S. dollar denominated sales in Europe, the UK, and Asia, and non-U.S. dollar denominated operating expenses and certain assets and liabilities in our operating subsidiaries.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Additionally, we have entered and may enter into business development transactions, borrowings, or other financial transactions that may give rise to currency and interest rate exposure. Since we cannot, with certainty, foresee and mitigate against such adverse changes, fluctuations in currency exchange rates, interest rates, and inflation could negatively affect our business, cash flow, results of operations, financial condition, and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Climate change or legal, regulatory, or market measures to address climate change may negatively affect our business, results of operations, cash flows and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Environmental, social, and governance matters may impact our business and reputation.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Changes in regulations and policies of the new U.S. administration may have the effect of scaling back or halting the progress of proposed or enacted ESG-related regulations, which may also have an effect on requirements and preferences of various government agencies and external stakeholders.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products, potential products, and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or may experience changes in review personnel which may alter the FDA’s advice with respect to our strategy and submissions, which in turn, may lengthen the regulatory review process, increase our development costs and delay or prevent their commercialization.</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Prior to Amtagvi</w:t>
      </w:r>
      <w:r>
        <w:rPr>
          <w:rFonts w:ascii="Times New Roman;Times;serif" w:hAnsi="Times New Roman;Times;serif"/>
          <w:sz w:val="15"/>
        </w:rPr>
        <w:t>®</w:t>
      </w:r>
      <w:r>
        <w:rPr>
          <w:rFonts w:ascii="Times New Roman;Times;serif" w:hAnsi="Times New Roman;Times;serif"/>
          <w:sz w:val="20"/>
        </w:rPr>
        <w:t>, no adoptive cell therapy using a TIL product had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or foreign regulatory approvals, if at all. We have completed the process for FDA approval for one adoptive cell therapy product. We will not be able to commercialize any of our potential products until we obtain FDA or foreign regulatory approvals, and so any delay in obtaining, or inability to obtain, FDA or foreign regulatory approvals would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or product candidates.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b/>
          <w:i/>
          <w:sz w:val="20"/>
        </w:rPr>
        <w:t>The FDA and foreign regulatory approval process is lengthy and time-consuming, and we may experience significant delays in the clinical development and regulatory approval of our product candidates.</w:t>
      </w:r>
      <w:r>
        <w:rPr>
          <w:rFonts w:ascii="Times New Roman;Times;serif" w:hAnsi="Times New Roman;Times;serif"/>
          <w:sz w:val="20"/>
        </w:rPr>
        <w:t xml:space="preserve">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 BLA must include extensive preclinical and clinical data and supporting information to establish the product candidate’s safety and effectiveness for each desired indication. Our BLA submissions and expected timelines for our product candidates are based on our interpretation of communications received from the FDA to date regarding each product candidate and are subject to revision if additional communications are received from the FDA. As such, we may experience delays with FDA approval of BLAs for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conducting registrational trials for advanced NSCLC and frontline advanced melanoma cancer with our lifileucel product candidate, and we plan to commence a registrational trial in previously treated advanced UPS and DDLPS in the second quarter of 2026. The ongoing trials, which we refer to as IOV-LUN-202 Cohorts 1 and 2 in the case of advanced NSCLC and TILVANCE-301 in the case of advanced melanoma, are currently underway and have been the subject of formal FDA meetings and communications. For instance, on December 22, 2023, the FDA placed a clinical hold on the IOV-LUN-202 trial in response to a reported Grade 5 (fatal) serious adverse event potentially related to the non-myeloablative lymphodepletion, or NMA-LD, pre-conditioning regimen, and we paused enrollment and the lifileucel treatment regimen for new patients in IOV-LUN-202 during the clinical hold. On March 4, 2024, the FDA lifted the partial clinical hold on the IOV-LUN-202 trial, permitting us to resume patient enrollment using a reduced NMA-LD regimen. Our current beliefs regarding the registration pathway for lifileucel in these indications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the lifileucel product candidate or prevent their approval.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As previously disclosed, Iovance began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inhibitor-naïve metastatic melanoma. However, the regulatory approval pathway for our product candidates may be uncertain, complex, expensive, and lengthy, and approval may not be obtained.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also experience delays, including delays arising from the need to increase enrollment, in completing planned clinical trials for a variety of reasons, including delays related to:</w:t>
      </w:r>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financial resources to commence and complete the planned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reaching agreement on acceptable contract terms with prospective CROs and clinical trial sites, the terms of which can be subject to extensive negotiation and may vary significantly among different CROs and clinical trial sites;</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approval at each clinical trial site by an independent IRB, or central IRB;</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suitable patients to participate in a clinical trial;</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patients complete a clinical trial or return for post-treatment follow-up;</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sites deviating from clinical trial protocol or dropping out of a clinical trial;</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adding new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sufficient quantities of qualified materials under cGMP and applying them on a subject-by-subject basis for use in clinical trials;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timely implementing or validating changes to our manufacturing or quality control processes and methods needed to address FDA feedback.</w:t>
            </w:r>
          </w:p>
        </w:tc>
      </w:tr>
    </w:tbl>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FDA’s review of our regulatory submissions may be delayed in the future due to reasons beyond our control (such as the reductions of staffing or other resources at the FDA). FDA operations are affected by various factors, such as shifting government priorities, budgets and funding levels, authorization and payment of user fees, the ability to hire and retain key personnel, as well as other statutory, regulatory, and policy changes impacting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other meetings.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Obtaining and maintaining regulatory approval of our product candidates in one jurisdiction does not mean that we will be successful in obtaining or maintaining regulatory approval of our product candidates in other jurisdictions.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 approval for previously approved products.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may also submit marketing applications in other countries. Regulatory authorities in jurisdictions outside of the U.S. have requirements for approval of product candidates with which we must comply prior to marketing in those jurisdictions. Obtaining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Any regulatory approvals that we receive for our product candidates will require ongoing surveillance to monitor the safety and efficacy of the product candidate. Although not required for Amtagvi</w:t>
      </w:r>
      <w:r>
        <w:rPr>
          <w:rFonts w:ascii="Times New Roman;Times;serif" w:hAnsi="Times New Roman;Times;serif"/>
          <w:sz w:val="15"/>
        </w:rPr>
        <w:t>®</w:t>
      </w:r>
      <w:r>
        <w:rPr>
          <w:rFonts w:ascii="Times New Roman;Times;serif" w:hAnsi="Times New Roman;Times;serif"/>
          <w:sz w:val="20"/>
        </w:rPr>
        <w:t xml:space="preserve"> or Proleukin</w:t>
      </w:r>
      <w:r>
        <w:rPr>
          <w:rFonts w:ascii="Times New Roman;Times;serif" w:hAnsi="Times New Roman;Times;serif"/>
          <w:sz w:val="15"/>
        </w:rPr>
        <w:t>®</w:t>
      </w:r>
      <w:r>
        <w:rPr>
          <w:rFonts w:ascii="Times New Roman;Times;serif" w:hAnsi="Times New Roman;Times;serif"/>
          <w:sz w:val="20"/>
        </w:rPr>
        <w:t>, it is possible in the future that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Initiatives established by the current presidential administration have led to greater regulatory scrutiny around prescription drug promotion, in particular direct-to-consumer (DTC) advertising, coinciding with a presidential memorandum that directed FDA to intensify oversight and enforcement under existing authorities and to initiate rulemaking to eliminate the “adequate provision” loophole that allows safety information to be placed in separate formats or locations. While FDA continues to regulate advertising and promotion under the FDCA and implementing standards, there has been a significant increase in warning letters and untitled letters issued by the agency’s Office of Prescription Drug Promotion. Failure to comply with current or forthcoming FDA requirements may trigger enforcement by FDA, DOJ, or HHS Office of Inspector General (as well as state authorities), which may result in warning letters, civil and criminal penalties, agreements restricting promotional practices, and significant reputational harm.</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marketing, distribution, or manufacturing of our product candidates, withdrawal of the product from the market, or voluntary or mandatory product recalls;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the labeling of our product candidates, including required additional warnings, such as black box warnings, contraindications, precautions, and restrictions on the approved indication or use;</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modifications to promotional pieces;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product labeling or the way the product is administered;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for harm caused to patients or subjects;</w:t>
            </w:r>
          </w:p>
        </w:tc>
      </w:tr>
    </w:tbl>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restitution, disgorgement, warning letters, untitled letters, or holds on or termination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refusal by the FDA to approve pending applications or supplements to approved applications filed by us or suspension or revocation of license approvals;</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seizure or detention, or refusal to permit the import or export of our product candidates;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or the imposition of civil or criminal penalties, including imprisonment;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debarment, debarment from government contracts, and refusal of future orders under existing contracts, exclusion from federal healthcare programs, consent decrees, or corporate integrity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authority issuance of safety alerts, Dear Healthcare Provider letters, press releases, or other communications containing warnings or other safety information about the biologic;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restrictions on manufacturing or distribution if there is an inability to trace the source of a problem due to the nature of cell therapy;</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withdrawal of regulatory approvals for the Proleukin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product;</w:t>
            </w:r>
          </w:p>
        </w:tc>
      </w:tr>
    </w:tbl>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harm; or</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becoming less competitive.</w:t>
            </w:r>
          </w:p>
        </w:tc>
      </w:tr>
    </w:tbl>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fail to comply with applicable healthcare and promotional laws, including fraud and abuse and information privacy and security laws, we could face substantial penalties and our business, financial condition, results of operations, and prospects could be adversely affected.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biopharmaceutical company, we are subject to many federal and state healthcare laws, such laws may include the federal Anti-Kickback Statute, or the AKS, the federal civil and criminal False Claims Act, or the FCA, the civil monetary penalties statute, or the CMP Law, the Medicaid Drug Rebate statute and other price reporting requirements, the Veterans Health Care Act of 1992, or the VHCA, HIPAA, the Foreign Corrupt Practices Act of 1977, or FCPA, the ACA, and similar state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If we do not comply with all applicable laws, we may be subject to enforcement by both the federal government and the states in which we conduct our business as well as by other third parties, such as patients.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do not currently participate in the Medicaid Drug Rebate Program. If we fail to comply with the reporting and payment obligations under the Medicaid Drug Rebate Program or other governmental pricing programs because we incorrectly determined participating was not required, we could be subject to certain reimbursement requirements, penalties, sanctions, and fines, which could adversely impact our business, financial condition, results of operations, and prospects. In the event that we begin to participate in such a program,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HCPs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order to obtain additional clarification on the AKS or the CMP Law, a written interpretative advisory opinion can be requested from the Department of Health and Human Services’ Office of Inspector General, or OIG, regarding existing or contemplated arrangements. Advisory opinions are binding as to the OIG, but only with respect to the requesting party or parties. The advisory opinions are not binding as to other governmental agencies (e.g., the Department of Justice) and certain matters (e.g., whether certain payments made in conjunction with conduct seeking to meet certain safe harbor protections are at fair market value) are not within the purview of an advisory opinion. In 2024, the OIG issued to us a favorable advisory opinion concluding that a proposed arrangement, providing travel and lodging for certain patients and caregivers in connection with a patient’s receipt of our cell therapy product, presented a sufficient low risk of fraud and abuse under the AKS and did not generate prohibited remuneration under the CMP Law. We offer travel and lodging support for patients and caregivers who meet our criteria and have structured our program in line with the OIG advisory opinion. While we believe we have properly structured our support in compliance with the AKS and the CMP Law, we cannot guarantee that the OIG or other regulators will not be able to successfully challenge our arrangements.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the OIG, and state attorneys general. Additionally, advertising and promotional activities may be scrutinized and challenged by members of Congress, competitors, healthcare professionals,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and actions,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FCA,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manufacturers of drugs and biologics have increased significantly in volume and breadth, leading to several substantial civil and criminal settlements, up to $3.0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products, if any, we may become subject to such litigation and, if we do not successfully defend against such actions, those actions may have a material adverse effect on our business, financial condition, results of operations and prospects.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EU, companies may not promote unauthorized products or therapeutic indications. Therefore, it is generally prohibited to disseminate information regarding off-label uses of medicinal products. Exceptionally, companies may provide information on unauthorized products or indications in response to a written unsolicited request by an HCP (</w:t>
      </w:r>
      <w:r>
        <w:rPr>
          <w:rFonts w:ascii="Times New Roman;Times;serif" w:hAnsi="Times New Roman;Times;serif"/>
          <w:i/>
          <w:sz w:val="20"/>
        </w:rPr>
        <w:t>i.e</w:t>
      </w:r>
      <w:r>
        <w:rPr>
          <w:rFonts w:ascii="Times New Roman;Times;serif" w:hAnsi="Times New Roman;Times;serif"/>
          <w:sz w:val="20"/>
        </w:rPr>
        <w:t>., on a reactive basis only), as that is excluded from the definition of advertising under EU law. This should be done through the medical team/Medical Science Liaisons, or MSLs, and not the marketing/sales representatives. Moreover, specific rules may apply in each EU member state as regards the interactions between MSLs and HCPs.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Coverage and reimbursement may be limited or unavailable in certain market segments for our products or product candidates, which could make it difficult for us to sell our product candidates profitably.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both domestic and foreign markets, sales of our product candidates, if approved, depend on the availability of coverage and adequate reimbursement from third-party payors. Such third-party payors include government health programs such as Medicare and Medicaid, managed care entities, private health insurers, self-insured employers, and other organizations. In addition, because our product candidates represent new approaches to the treatment of cancer for which no reimbursement rates may currently or definitively apply, we cannot accurately estimate the potential revenue from our product candidates.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Patients who are provided medical treatment for their conditions often rely on third-party payors to reimburse all or part of the costs associated with their treatment. Obtaining coverage and adequate reimbursement from payors is critical to new product acceptance.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Third-party payors, including government health care programs,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covered benefit under its health plan;</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effective and medically necessary;</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for the specific patient;</w:t>
            </w:r>
          </w:p>
        </w:tc>
      </w:tr>
    </w:tbl>
    <w:tbl>
      <w:tblPr>
        <w:tblW w:w="2031" w:type="dxa"/>
        <w:jc w:val="left"/>
        <w:tblInd w:w="0" w:type="dxa"/>
        <w:tblLayout w:type="fixed"/>
        <w:tblCellMar>
          <w:top w:w="28" w:type="dxa"/>
          <w:left w:w="28" w:type="dxa"/>
          <w:bottom w:w="28" w:type="dxa"/>
          <w:right w:w="28" w:type="dxa"/>
        </w:tblCellMar>
      </w:tblPr>
      <w:tblGrid>
        <w:gridCol w:w="124"/>
        <w:gridCol w:w="256"/>
        <w:gridCol w:w="1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cost-effective; and</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experimental nor investigational.</w:t>
            </w:r>
          </w:p>
        </w:tc>
      </w:tr>
    </w:tbl>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Federal and state legislatures and agencies continue to promulgate laws and regulations impacting coverage and reimbursement of drugs and treatments. For example, on September 26, 2024, the CMS issued a final rule titled “Medicaid Program; Misclassification of Drugs, Program Administration and Program Integrity Updates Under the Medicaid Drug Rebate Program,” which may impact our reimbursement and rebate strategy.</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Obtaining coverage and reimbursement approval of a product from a government or other third-party payor is a time-consuming and costly process that could require us to provide to the payor supporting scientific, clinical, and cost-effectiveness data for the use of our products. Payors may refuse to provide coverage for or may deny reimbursement for a product, depending on how they view such data. Even if we obtain coverage for a given product, the resulting reimbursement payment rates might not be adequate for us to achieve or sustain profitability. If payors subject our product candidates to maximum payment amounts or impose limitations that make it difficult to obtain reimbursement, providers may choose to use therapies which are less expensive when compared to our product candidates. Payors may require co-payments that patients find unacceptably high. Moreover, the factors noted above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continued to be the focus of policy and regulatory debate that has, thus far, shown the potential for movement towards permanent policy changes; this trend is apt to continue, and may result in more or less favorable impacts on pricing. In some cases, we do not have long-term agreements with insurance companies but negotiate single-case agreements on a case-by-case basis to obtain prior authorization, coverage, and reimbursement for a particular case.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Providers may be unlikely to prescribe, and patients may be unlikely to use our product candidates unless coverage is provided, and reimbursement is adequate to cover a significant portion of the cost of our product candidates. This effort may include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U.S., no uniform policy of coverage and reimbursement for products exists among third-party payors. Therefore, coverage and reimbursement for products can differ significantly from payor to payor and from jurisdiction to jurisdiction. As a result, the coverage determination process is often a time-consuming and costly process that will require us to provide scientific, clinical, and cost-effectiveness data to support the use of our product candidates to each payor separately, with no assurance that coverage and adequate reimbursement will be obtained. In the EU, each member state is responsible for establishing the price and reimbursement conditions of medicinal products placed in its market.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to generate revenue and achieve profitability will decline. Moreover, recent and ongoing series of congressional hearings relating to drug pricing has presented heightened attention to the biopharmaceutical industry, creating the potential for political and public pressure. The potential for resulting legislative or policy changes presents uncertainty.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 candidates if we obtain regulatory approval;</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set a price that we believe is fair for our products;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and achieve or maintain profitability;</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taxes that we are required to pay; and</w:t>
            </w:r>
          </w:p>
        </w:tc>
      </w:tr>
    </w:tbl>
    <w:tbl>
      <w:tblPr>
        <w:tblW w:w="2631" w:type="dxa"/>
        <w:jc w:val="left"/>
        <w:tblInd w:w="0" w:type="dxa"/>
        <w:tblLayout w:type="fixed"/>
        <w:tblCellMar>
          <w:top w:w="28" w:type="dxa"/>
          <w:left w:w="28" w:type="dxa"/>
          <w:bottom w:w="28" w:type="dxa"/>
          <w:right w:w="28" w:type="dxa"/>
        </w:tblCellMar>
      </w:tblPr>
      <w:tblGrid>
        <w:gridCol w:w="124"/>
        <w:gridCol w:w="256"/>
        <w:gridCol w:w="2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capital.</w:t>
            </w:r>
          </w:p>
        </w:tc>
      </w:tr>
    </w:tbl>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 xml:space="preserve">We are subject to new legislation, regulatory proposals, and healthcare payor initiatives that may increase our costs of compliance and adversely affect our ability to market our products, obtain collaborators, and raise capital. </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result in more rigorous coverage criteria and in additional downward pressure on the price that we, or our collaborators, may receive for any approved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the EU, several pieces of legislation recently approved—or still in the process of being approved—will impact regulatory procedures applicable to medicinal products, including those based on genes, tissues, or cells, or Advanced Therapy Medicinal Products. These include, among others, the new Regulation (EU) 2024/1938 on standards of quality and safety for substances of human origin intended for human application and the new Regulation (EU) 2021/2282 on health technology assessment, which went into effect on January 12, 2025. Moreover, on April 10, 2024, the European Parliament adopted its position on the European Commission proposal to reform EU pharmaceutical legislation, consisting of a new directive replacing Directive 2001/83/EC and a new regulation replacing Regulation (EC) 726/2004. The Council of the EU and European parliament reached a provisional agreement in December 2025, which if approved by the council and parliament through the EU ordinary legislative procedure, will represent the most significant review of EU pharmaceutical legislation since 2004. The changes proposed are far reaching, including a change in the period of standard regulatory exclusivity, a package of incentives aimed at addressing unmet medical needs, and an extension of the so-called Bolar exemption.</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Moreover, it is unclear how regulations and sub-regulatory policy, which fluctuate continually, may affect the interpretation and further implementation of the existing law and its practical effects on our business. We are unable to predict the future course of federal or state healthcare legislation in the U.S.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In addition, there is a great degree of uncertainty regarding how recent U.S. Supreme Court decisions, including Loper Bright Enterprises v. Raimondo, 603 U.S. 369 (2024) and Corner Post, Inc. v. Board of Governors of the Federal Reserve System, 603 U.S. 799 (2024), will impact the FDA’s enforcement and decision-making authority. Loper Bright explicitly overturned Chevron deference, which previously gave judicial deference to administrative action by agencies in the executive branch. Furthermore, the Supreme Court’s decision in Corner Post may result in challenges to FDA decisions by new litigants long into the future.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New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We continue to monitor the potential impact of proposals and recently enacted legislation to lower prescription drug costs at the federal and state level. As an example, of changes enacted by a new administration, the IRA, or the IRA, was signed into law in August 2022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which started in 2026, and Medicare Part B drugs starting in 2028. We continue to evaluate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 Further, CMS recently proposed two mandatory payment model pilots, the Guarding U.S. Medicare Against Rising Drug Costs, or GUARD, Model, focused on Part D drugs, and Global Benchmark for Efficient Drug Pricing, or GLOBE, focused on Part B drugs, which will require pharmaceutical companies to pay additional rebates on certain medicines, including central nervous system agents for the treatment of multiple sclerosis, whose U.S. net-of-discount prices exceed those in certain other countries.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Adoption of government controls and measures and tightening of restrictive policies in jurisdictions with existing controls and measures, could exclude or limit our product candidates from coverage and limit payments for pharmaceuticals. We continue to monitor the potential impact of these and other proposals to lower prescription drug costs at the federal and state level.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within state healthcare programs and payers, including price or patient reimbursement constraints, rebates and other price concessions, restrictions on certain product access and marketing cost disclosure and transparency measures, and, in some cases, designed to encourage importation from other countries and other purchasing approaches.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unable to predict the future course of federal or state healthcare legislation in the U.S. directed at broadening the availability of healthcare and containing or lowering the cost of healthcare. Any changes in the law or regulatory framework that reduce our revenue or increase our costs could also have a material and adverse effect on our business, financial condition and results of operations.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 xml:space="preserve">General political uncertainty may have an adverse impact on our operating performance and results of operations. Changing regulatory policies resulting from the political environment could impact our regulatory and compliance costs and future revenues, all of which could materially and adversely affect our business, financial condition, and operating results. Failure to adapt to or comply with evolving regulatory requirements or investor or stakeholder expectations and standards could negatively impact our reputation, ability to do business with certain partners, access to capital, and our stock price. Changes in U.S. federal policy by the executive branch and regulatory agencies may continue to occur, which could lead to changes involving the level of oversight, reimbursement to and focus on the biopharmaceutical industry operations globally. However, the nature, timing, and effects of such potential changes remain highly uncertain. It is presently unclear exactly what additional actions the administration in the U.S. will implement, and if implemented, how these actions may impact the biopharmaceutical industry, and our company specifically, in the U.S. and worldwide.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There is currently significant uncertainty about the future of trade relationships around the world, including potential changes to trade laws and regulations, trade policies, and tariffs. The administration has used emergency authority to impose tariffs on imported branded pharmaceuticals and subsequently reported to have negotiated agreements with certain countries including the United Kingdom and Japan. For example, on April 2, 2025, the Administration announced more tariffs imposed pursuant to the International Emergency Economic Powers Act, designated “reciprocal tariffs” purportedly in response to the trade deficit national emergency announced on virtually all imported products from all countries. The reciprocal tariffs imposed a 10% tariff on most countries, which were to increase to a higher, country-specific tariff rate on countries identified in Annex 1 of the executive order. The country-specific tariffs were later paused for 90 days. In addition, the Administration, through the Department of Commerce, has an ongoing investigation into the pharmaceutical industry pursuant to Section 232 of the Trade Expansion Act of 1962 (“Section 232”), whereby the President may impose additional tariffs on imports within the pharmaceutical industry if deemed necessary based on national security grounds. Following the Section 232 investigations, in April 2026, an executive order was issued seeking to impose a 100% tariff on any branded or patented pharmaceuticals imported into the U.S., unless the relevant drug manufacturer has or is in the process of building a manufacturing facility in the U.S., which has been paused as negotiations with large drug manufacturers continue. Further, the President signed an executive order to reduce prescription drug pricing, including to implement Most Favored Nation drug pricing policies designed to align certain prescription drug prices in the U.S. to lower prices available in other countries. Agreements with major pharmaceutical companies were announced to lower prices or offer medicines on the TrumpRx platform. The details of each of these proposals are unclear, and the final terms remain uncertain. As a result of these dynamics, we cannot predict the impact to our relationships with third-party manufacturers or our business of any future changes to the U.S.’ or other countries’ trading relationships or the impact of new laws or regulations adopted by the U.S. or other countries. Evolving international trade relations, new legislation and tariffs may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products and product candidates we are developing and could materially impact our supply chain and manufacturing costs.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are subject to a variety of U.S. and international laws and regulations.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are currently subject to a number of government laws and regulations, and, in the future, could become subject to new government laws and regulations. The costs of compliance with such laws and regulations, or the negative results of non-compliance,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could adversely affect our business, cash flow, results of operations, financial condition, and prospects; these laws and regulations include (i) additional health care reform initiatives in the U.S. or in other countries, including additional mandatory discounts or fees; (ii) the FCPA, FCA or other anti-bribery and corruption laws across all of the jurisdictions that we operate in;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HCPs; (ix) environmental regulations, such as the EU’s Corporate Sustainability Reporting Directive; and (x) the potential impact of importation restrictions, embargoes, trade sanctions, and legislative and/or other regulatory changes.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international markets, reimbursement and health care payment systems vary significantly by country, and many countries have instituted price ceilings on specific products and therapies. 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undergo a health technology assessment or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or lawsuits accusing our products of patent infringement, which could be expensive, time-consuming and unsuccessful.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Competitors may infringe the patents owned or controlled by us or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using,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Periodic maintenance fees on any issued patent are due to be paid to the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 and other intellectual property rights.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w:t>
      </w:r>
      <w:r>
        <w:rPr>
          <w:rFonts w:ascii="Times New Roman;Times;serif" w:hAnsi="Times New Roman;Times;serif"/>
          <w:i/>
          <w:sz w:val="20"/>
        </w:rPr>
        <w:t>e.g</w:t>
      </w:r>
      <w:r>
        <w:rPr>
          <w:rFonts w:ascii="Times New Roman;Times;serif" w:hAnsi="Times New Roman;Times;serif"/>
          <w:sz w:val="20"/>
        </w:rPr>
        <w:t>.,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are unable to protect our proprietary rights, we may not be able to compete effectively or operate profitably.</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issuance of a patent is not conclusive as to its validity or enforceability and it is uncertain how much protection, if any, will be given to the patents we own or have licensed from the NIH, Cellectis or Novartis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at all.</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cannot prevent other companies from licensing most of the same intellectual properties that we have licensed or from otherwise duplicating our business model and operations.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U.S. patent in the NIH License Agreement is not owned solely by the NIH. No assurance can be given that NIH’s co-owner of the certain U.S. patent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Since the NCI and numerous other academic institutions already use TIL cell therapy for the treatment of metastatic melanoma and other indications, their methods and data are also available to third parties, who may want to enter into our line of business and compete against us. Other than our Gen 2 manufacturing process rights, our TIL composition of matter rights, our method of use rights in certain indications, and our licensed rights, we currently do not own any exclusive rights on our entire product portfolio that could be used to fully prevent third parties from duplicating our business plan or from otherwise directly competing against us. While additional technologies that may be developed under our CRADA may be licensed to us on an exclusive basis, no assurance can be given that our existing exclusive rights will be sufficient to prevent others from competing with us and developing substantially similar products.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The use of our technologies could potentially conflict with the rights of others.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have limited foreign intellectual property rights and may not be able to protect our intellectual property rights throughout the world.</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We have received confidential and proprietary information from third parties and our employees and contractors. In addition, we employ individuals who were previously employed at other biotechnology or pharmaceutical companies. We may be subject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claims that we or our employees, consultants or independent contractors have inadvertently or otherwise used or disclosed confidential information of these third parties or our employees’ former employers. Litigation may be necessary to defend against or pursue these claims. Even if we are successful in resolving these claims, litigation could result in substantial costs and be a distraction to our management and employees.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officers, directors and principal stockholders own a substantial percentage of our stock and will be able to exert significant control over matters subject to stockholder approval.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stock price may be volatile, and our stockholders’ investment in our stock could decline in value.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 market price of our common stock is likely to be volatile and could fluctuate widely in response to many factors, including but not limited to:</w:t>
      </w:r>
    </w:p>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instability in the capital markets due to potential health epidemics and pandemics;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results of clinical trials by us, our collaborators, or our competitors, or negative developments with respect to similar products, including those being developed by our collaborators;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with respect to patents or proprietary rights;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by us or our competitors;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or new contracts by us or our competitors;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operating results due to the level of development expenses and other factors;</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equities research analysts and whether our earnings meet or exceed such estimates;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and trends in the pharmaceutical, biotechnology and other industries;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or lack of receipt, of funding in support of conducing our business;</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within, and outside of, the U.S.;</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arbitration;</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volatility in the financial markets;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other factors; and</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risks described in this Quarterly Report on Form 10-Q.</w:t>
            </w:r>
          </w:p>
        </w:tc>
      </w:tr>
    </w:tbl>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You may experience future dilution as a result of future equity offerings or other equity issuances.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Future sales of our common stock in the public market could cause our stock price to fall.</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As of June 30, 2026, we had 452,971,016 shares of common stock outstanding. In addition, we had 32,730,876 shares of common stock equivalents that would increase the number of common stock outstanding if these instruments were exercised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300,000,000 shares, which was approved by our stockholders on that date. On June 16, 2023, our certificate of incorporation was amended to increase the number of authorized shares of our common stock from 300,000,000 to 500,000,000 shares, which was approved by our stockholders on June 6, 2023. On June 12, 2026, our certificate of incorporation was amended to increase the number of authorized shares of our common stock from 500,000,000 to 650,000,000 shares, which was approved by our stockholders on June 10, 2026.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in the future, we may issue additional shares of common stock or other equity or debt securities convertible into common stock in connection with a financing, acquisition, litigation settlement, employee arrangements or otherwise. For example, in August 2025, we entered into a Sale Agreement with Jefferies with respect to an at the market offering program, under which we may, from time to time, issue and sell up to $350.0 million of our common stock, and we may offer additional shares under our automatic shelf registration statement in the future. Future issuances may result in substantial dilution to our existing stockholders and could cause our stock price to decline.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equities or industry analysts do not publish research or reports about our company, or if they issue adverse or misleading opinions regarding us or our stock, our stock price and trading volume could decline.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 xml:space="preserve">We are, and in the future may be, subject to federal or state securities or related legal actions that could adversely affect our results of operations and our business.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agreed to proposed settlements in 2022 and 2024, which the Court declined to approve. The Company continues to vigorously defend against the complaint. Also, on May 15, 2025, two putative securities class actions were filed against us and certain of our officers, alleging violations of federal securities laws for allegedly making materially false and misleading statements regarding our expected revenue for fiscal year 2025, which the plaintiffs claim artificially inflated the price of our common stock. On June 5, 2025, two putative shareholder derivative lawsuits were filed, purportedly brought on behalf of Iovance against certain current and former officers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directors of the Company. The lawsuits contain allegations based on or similar to those in the putative securities class actions and claim, among other things, that the defendants breached their fiduciary duties and violated Section 14(a) of the 1934 Act by issuing or causing the Company to issue false and misleading disclosures concerning the Company’s financial forecasts for fiscal year 2025. The outcome of these and other future litigation is uncertain. </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Board of Directors could issue one or more additional series of preferred stock without stockholder approval with the effect of diluting existing stockholders and impairing their voting and other rights.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certificate of incorporation, as amended, authorizes the issuance of up to 50,000,000 shares of “blank check” preferred stock (of which only 17,000 shares were authorized for issuance as Series A Convertible Preferred Stock and 11,500,000 shares were authorized for issuance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We do not anticipate paying cash dividends for the foreseeable future, and therefore investors should not buy our stock if they wish to receive cash dividends.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 xml:space="preserve">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200"/>
        <w:ind w:left="0" w:right="0" w:firstLine="547"/>
        <w:jc w:val="left"/>
        <w:rPr>
          <w:rFonts w:ascii="Times New Roman;Times;serif" w:hAnsi="Times New Roman;Times;serif"/>
          <w:b/>
          <w:i/>
          <w:sz w:val="20"/>
        </w:rPr>
      </w:pPr>
      <w:r>
        <w:rPr>
          <w:rFonts w:ascii="Times New Roman;Times;serif" w:hAnsi="Times New Roman;Times;serif"/>
          <w:b/>
          <w:i/>
          <w:sz w:val="20"/>
        </w:rPr>
        <w:t>Provisions in our amended and restated bylaws could limit our stockholders’ ability to obtain a favorable judicial forum for disputes with us or our directors, officers or employees.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those states which have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bookmarkStart w:id="1787" w:name="Item2UnregisteredSalesofSecuritiesandUse"/>
      <w:bookmarkStart w:id="1788" w:name="_9fb417f7_219a_44e3_af82_c0c3163e234c"/>
      <w:bookmarkEnd w:id="1787"/>
      <w:bookmarkEnd w:id="1788"/>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Securities, Use of Proceeds, and Issuer Purchases of Equity Securities.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Nothing to report.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1789" w:name="Item3DefaultsUponSeniorSecurities_597206"/>
      <w:bookmarkStart w:id="1790" w:name="_2e07ba74_e7a2_49dc_9fb6_538b7e8bd6db"/>
      <w:bookmarkStart w:id="1791" w:name="Item3DefaultsUponSeniorSecurities_597206"/>
      <w:bookmarkStart w:id="1792" w:name="_2e07ba74_e7a2_49dc_9fb6_538b7e8bd6db"/>
      <w:bookmarkEnd w:id="1791"/>
      <w:bookmarkEnd w:id="1792"/>
    </w:p>
    <w:tbl>
      <w:tblPr>
        <w:tblW w:w="3557" w:type="dxa"/>
        <w:jc w:val="left"/>
        <w:tblInd w:w="0" w:type="dxa"/>
        <w:tblLayout w:type="fixed"/>
        <w:tblCellMar>
          <w:top w:w="0" w:type="dxa"/>
          <w:left w:w="0" w:type="dxa"/>
          <w:bottom w:w="0" w:type="dxa"/>
          <w:right w:w="0" w:type="dxa"/>
        </w:tblCellMar>
      </w:tblPr>
      <w:tblGrid>
        <w:gridCol w:w="706"/>
        <w:gridCol w:w="285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3.</w:t>
            </w:r>
          </w:p>
        </w:tc>
        <w:tc>
          <w:tcPr>
            <w:tcW w:w="285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Nothing to report.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1793" w:name="Item4MineSafetyDisclosures_35877"/>
      <w:bookmarkStart w:id="1794" w:name="_a6f323a5_0e50_4306_ba65_865376e5657a"/>
      <w:bookmarkStart w:id="1795" w:name="Item4MineSafetyDisclosures_35877"/>
      <w:bookmarkStart w:id="1796" w:name="_a6f323a5_0e50_4306_ba65_865376e5657a"/>
      <w:bookmarkEnd w:id="1795"/>
      <w:bookmarkEnd w:id="1796"/>
    </w:p>
    <w:tbl>
      <w:tblPr>
        <w:tblW w:w="2867" w:type="dxa"/>
        <w:jc w:val="left"/>
        <w:tblInd w:w="0" w:type="dxa"/>
        <w:tblLayout w:type="fixed"/>
        <w:tblCellMar>
          <w:top w:w="0" w:type="dxa"/>
          <w:left w:w="0" w:type="dxa"/>
          <w:bottom w:w="0" w:type="dxa"/>
          <w:right w:w="0" w:type="dxa"/>
        </w:tblCellMar>
      </w:tblPr>
      <w:tblGrid>
        <w:gridCol w:w="706"/>
        <w:gridCol w:w="216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4.</w:t>
            </w:r>
          </w:p>
        </w:tc>
        <w:tc>
          <w:tcPr>
            <w:tcW w:w="216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Nothing to report.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1797" w:name="Item5OtherInformation_291306"/>
      <w:bookmarkStart w:id="1798" w:name="_0964cef6_a55f_4697_a705_54c0e8e5764b"/>
      <w:bookmarkStart w:id="1799" w:name="Item5OtherInformation_291306"/>
      <w:bookmarkStart w:id="1800" w:name="_0964cef6_a55f_4697_a705_54c0e8e5764b"/>
      <w:bookmarkEnd w:id="1799"/>
      <w:bookmarkEnd w:id="1800"/>
    </w:p>
    <w:tbl>
      <w:tblPr>
        <w:tblW w:w="2477" w:type="dxa"/>
        <w:jc w:val="left"/>
        <w:tblInd w:w="0" w:type="dxa"/>
        <w:tblLayout w:type="fixed"/>
        <w:tblCellMar>
          <w:top w:w="0" w:type="dxa"/>
          <w:left w:w="0" w:type="dxa"/>
          <w:bottom w:w="0" w:type="dxa"/>
          <w:right w:w="0" w:type="dxa"/>
        </w:tblCellMar>
      </w:tblPr>
      <w:tblGrid>
        <w:gridCol w:w="706"/>
        <w:gridCol w:w="177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5.</w:t>
            </w:r>
          </w:p>
        </w:tc>
        <w:tc>
          <w:tcPr>
            <w:tcW w:w="177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During the second quarter of 2026, none of our directors or executive officers adopted or terminated a Rule 10b5-1 trading arrangement (as defined in Item 408(a)(1)(i) of Regulation S-K) or adopted or terminated a non-Rule 10b5-1 trading arrangement (as defined in Item 408(c) of Regulation S-K) for the purchase or sale of securities of the Company, whether or not intended to satisfy the affirmative defense conditions of Rule 10b5-1(c) of the Exchange Act.</w:t>
      </w:r>
    </w:p>
    <w:p>
      <w:pPr>
        <w:pStyle w:val="TextBody"/>
        <w:bidi w:val="0"/>
        <w:spacing w:before="0" w:after="0"/>
        <w:ind w:left="0" w:right="0" w:firstLine="547"/>
        <w:jc w:val="left"/>
        <w:rPr/>
      </w:pPr>
      <w:r>
        <w:rPr/>
        <w:t>​</w:t>
      </w:r>
    </w:p>
    <w:p>
      <w:pPr>
        <w:pStyle w:val="TextBody"/>
        <w:bidi w:val="0"/>
        <w:spacing w:before="0" w:after="0"/>
        <w:ind w:left="0" w:right="0" w:firstLine="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sz w:val="20"/>
        </w:rPr>
      </w:pPr>
      <w:bookmarkStart w:id="1801" w:name="Item6Exhibits_580240"/>
      <w:bookmarkStart w:id="1802" w:name="_8a0a01af_ce4d_4739_a70e_4d2838653997"/>
      <w:bookmarkEnd w:id="1801"/>
      <w:bookmarkEnd w:id="1802"/>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97"/>
        <w:gridCol w:w="346"/>
        <w:gridCol w:w="8962"/>
      </w:tblGrid>
      <w:tr>
        <w:trPr/>
        <w:tc>
          <w:tcPr>
            <w:tcW w:w="89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283"/>
              <w:ind w:left="0" w:right="0" w:hanging="0"/>
              <w:jc w:val="left"/>
              <w:rPr>
                <w:sz w:val="4"/>
                <w:szCs w:val="4"/>
              </w:rPr>
            </w:pPr>
            <w:r>
              <w:rPr>
                <w:sz w:val="4"/>
                <w:szCs w:val="4"/>
              </w:rPr>
            </w:r>
          </w:p>
        </w:tc>
      </w:tr>
      <w:tr>
        <w:trPr/>
        <w:tc>
          <w:tcPr>
            <w:tcW w:w="8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9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89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962"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Certificate of Incorporation, as amended, of Registrant (incorporated herein by reference to Exhibit 3.1 to Registrant’s Form S-3 filed with the Commission on June 18, 2026).</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Fourth Amended and Restated Bylaws of Iovance Biotherapeutics, Inc. (incorporated herein by reference to Exhibit 3.1 to Registrant’s Current Report on Form 8-K filed with the Commission on March 29, 2024).</w:t>
              </w:r>
            </w:hyperlink>
            <w:r>
              <w:rPr>
                <w:rFonts w:ascii="Times New Roman;Times;serif" w:hAnsi="Times New Roman;Times;serif"/>
                <w:sz w:val="20"/>
              </w:rPr>
              <w:t xml:space="preserve"> </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pPr>
            <w:hyperlink w:anchor="iova-20260630xex10d1.htm">
              <w:r>
                <w:rPr>
                  <w:rStyle w:val="InternetLink"/>
                  <w:rFonts w:ascii="Times New Roman;Times;serif" w:hAnsi="Times New Roman;Times;serif"/>
                  <w:b w:val="false"/>
                  <w:i w:val="false"/>
                  <w:caps w:val="false"/>
                  <w:smallCaps w:val="false"/>
                  <w:sz w:val="20"/>
                </w:rPr>
                <w:t>Separation Agreement and General Release, dated June 8, 2026, by and between Friedrich-Reinhard Graf Finck von Finckensten, M.D., and the Registrant.</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pPr>
            <w:hyperlink w:anchor="iova-20260630xex10d2.htm">
              <w:r>
                <w:rPr>
                  <w:rStyle w:val="InternetLink"/>
                  <w:rFonts w:ascii="Times New Roman;Times;serif" w:hAnsi="Times New Roman;Times;serif"/>
                  <w:b w:val="false"/>
                  <w:i w:val="false"/>
                  <w:caps w:val="false"/>
                  <w:smallCaps w:val="false"/>
                  <w:sz w:val="20"/>
                </w:rPr>
                <w:t>Consulting Agreement, effective as of June 9, 2026, by and between Friedrich-Reinhard Graf Finck von Finckensten, M.D., and the Registrant.</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Iovance Biotherapeutics, Inc. 2020 Employee Stock Purchase Plan, as amended (incorporated herein by reference to Exhibit 99.1 to Registrant’s Form S-8 filed with the Commission on June 18, 2026).</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Iovance Biotherapeutics, Inc. Amended and Restated 2021 Inducement Plan, as amended (incorporated herein by reference to Exhibit 99.1 to Registrant’s Form S-8 filed with the Commission on June 18, 2026).</w:t>
              </w:r>
            </w:hyperlink>
            <w:r>
              <w:rPr>
                <w:rFonts w:ascii="Times New Roman;Times;serif" w:hAnsi="Times New Roman;Times;serif"/>
                <w:sz w:val="20"/>
              </w:rPr>
              <w:t xml:space="preserve"> </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962" w:type="dxa"/>
            <w:tcBorders/>
            <w:vAlign w:val="center"/>
          </w:tcPr>
          <w:p>
            <w:pPr>
              <w:pStyle w:val="TableContents"/>
              <w:bidi w:val="0"/>
              <w:spacing w:before="0" w:after="0"/>
              <w:ind w:left="0" w:right="0" w:hanging="0"/>
              <w:jc w:val="left"/>
              <w:rPr/>
            </w:pPr>
            <w:hyperlink w:anchor="iova-20260630xex31d1.htm">
              <w:r>
                <w:rPr>
                  <w:rStyle w:val="InternetLink"/>
                  <w:rFonts w:ascii="Times New Roman;Times;serif" w:hAnsi="Times New Roman;Times;serif"/>
                  <w:b w:val="false"/>
                  <w:i w:val="false"/>
                  <w:caps w:val="false"/>
                  <w:smallCaps w:val="false"/>
                  <w:sz w:val="20"/>
                </w:rPr>
                <w:t>Rule 13a-14(a)/15d-14(a) Certification of Chief Executive Officer.</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 </w:t>
            </w:r>
          </w:p>
        </w:tc>
        <w:tc>
          <w:tcPr>
            <w:tcW w:w="8962" w:type="dxa"/>
            <w:tcBorders/>
            <w:vAlign w:val="center"/>
          </w:tcPr>
          <w:p>
            <w:pPr>
              <w:pStyle w:val="TableContents"/>
              <w:bidi w:val="0"/>
              <w:spacing w:before="0" w:after="0"/>
              <w:ind w:left="0" w:right="0" w:hanging="0"/>
              <w:jc w:val="left"/>
              <w:rPr/>
            </w:pPr>
            <w:hyperlink w:anchor="iova-20260630xex31d2.htm">
              <w:r>
                <w:rPr>
                  <w:rStyle w:val="InternetLink"/>
                  <w:rFonts w:ascii="Times New Roman;Times;serif" w:hAnsi="Times New Roman;Times;serif"/>
                  <w:b w:val="false"/>
                  <w:i w:val="false"/>
                  <w:caps w:val="false"/>
                  <w:smallCaps w:val="false"/>
                  <w:sz w:val="20"/>
                </w:rPr>
                <w:t>Rule 13a-14(a)/15d-14(a) Certification of Principal Financial Officer.</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 </w:t>
            </w:r>
          </w:p>
        </w:tc>
        <w:tc>
          <w:tcPr>
            <w:tcW w:w="8962" w:type="dxa"/>
            <w:tcBorders/>
            <w:vAlign w:val="center"/>
          </w:tcPr>
          <w:p>
            <w:pPr>
              <w:pStyle w:val="TableContents"/>
              <w:bidi w:val="0"/>
              <w:spacing w:before="0" w:after="0"/>
              <w:ind w:left="0" w:right="0" w:hanging="0"/>
              <w:jc w:val="left"/>
              <w:rPr/>
            </w:pPr>
            <w:hyperlink w:anchor="iova-20260630xex32d1.htm">
              <w:r>
                <w:rPr>
                  <w:rStyle w:val="InternetLink"/>
                  <w:rFonts w:ascii="Times New Roman;Times;serif" w:hAnsi="Times New Roman;Times;serif"/>
                  <w:b w:val="false"/>
                  <w:i w:val="false"/>
                  <w:caps w:val="false"/>
                  <w:smallCaps w:val="false"/>
                  <w:sz w:val="20"/>
                </w:rPr>
                <w:t>Section 1350 Certification of Chief Executive Officer (furnished herewith).</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 </w:t>
            </w:r>
          </w:p>
        </w:tc>
        <w:tc>
          <w:tcPr>
            <w:tcW w:w="8962" w:type="dxa"/>
            <w:tcBorders/>
            <w:vAlign w:val="center"/>
          </w:tcPr>
          <w:p>
            <w:pPr>
              <w:pStyle w:val="TableContents"/>
              <w:bidi w:val="0"/>
              <w:spacing w:before="0" w:after="0"/>
              <w:ind w:left="0" w:right="0" w:hanging="0"/>
              <w:jc w:val="left"/>
              <w:rPr/>
            </w:pPr>
            <w:hyperlink w:anchor="iova-20260630xex32d2.htm">
              <w:r>
                <w:rPr>
                  <w:rStyle w:val="InternetLink"/>
                  <w:rFonts w:ascii="Times New Roman;Times;serif" w:hAnsi="Times New Roman;Times;serif"/>
                  <w:b w:val="false"/>
                  <w:i w:val="false"/>
                  <w:caps w:val="false"/>
                  <w:smallCaps w:val="false"/>
                  <w:sz w:val="20"/>
                </w:rPr>
                <w:t>Section 1350 Certification of Principal Financial Officer (furnished herewith).</w:t>
              </w:r>
            </w:hyperlink>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Instance Document (the instance document does not appear in the Interactive Data File because its XBRL tags are embedded within the Inline XBRL document).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Schema Linkbase Document.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Calculation Linkbase Document.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Definition Linkbase Document.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Labels Linkbase Document.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Inline XBRL Taxonomy Presentation Linkbase Document.</w:t>
            </w:r>
          </w:p>
        </w:tc>
      </w:tr>
      <w:tr>
        <w:trPr/>
        <w:tc>
          <w:tcPr>
            <w:tcW w:w="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tbl>
      <w:tblPr>
        <w:tblW w:w="8657" w:type="dxa"/>
        <w:jc w:val="left"/>
        <w:tblInd w:w="0" w:type="dxa"/>
        <w:tblLayout w:type="fixed"/>
        <w:tblCellMar>
          <w:top w:w="0" w:type="dxa"/>
          <w:left w:w="0" w:type="dxa"/>
          <w:bottom w:w="0" w:type="dxa"/>
          <w:right w:w="0" w:type="dxa"/>
        </w:tblCellMar>
      </w:tblPr>
      <w:tblGrid>
        <w:gridCol w:w="331"/>
        <w:gridCol w:w="832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8326"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br/>
              <w:t>*</w:t>
            </w:r>
          </w:p>
        </w:tc>
        <w:tc>
          <w:tcPr>
            <w:tcW w:w="8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 (unless otherwise noted as being furnished herewith).</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Indicates a management contract or compensatory plan or arrangement.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portions of the Exhibit have been redacted pursuant to Item 601(b)(10)(iv) of Regulation S-K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803" w:name="SIGNATURES_241896"/>
      <w:bookmarkStart w:id="1804" w:name="_86fb45f7_d9dd_4287_a921_ad8a30f76b71"/>
      <w:bookmarkStart w:id="1805" w:name="_Hlk142037275"/>
      <w:bookmarkEnd w:id="1803"/>
      <w:bookmarkEnd w:id="1804"/>
      <w:bookmarkEnd w:id="1805"/>
      <w:r>
        <w:rPr>
          <w:rFonts w:ascii="Times New Roman;Times;serif" w:hAnsi="Times New Roman;Times;serif"/>
          <w:b/>
          <w:sz w:val="20"/>
        </w:rPr>
        <w:t>SIGNATURES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720"/>
        <w:jc w:val="left"/>
        <w:rPr/>
      </w:pPr>
      <w:r>
        <w:rPr/>
        <w:t>​</w:t>
      </w:r>
    </w:p>
    <w:tbl>
      <w:tblPr>
        <w:tblW w:w="9768" w:type="dxa"/>
        <w:jc w:val="left"/>
        <w:tblInd w:w="0" w:type="dxa"/>
        <w:tblLayout w:type="fixed"/>
        <w:tblCellMar>
          <w:top w:w="0" w:type="dxa"/>
          <w:left w:w="0" w:type="dxa"/>
          <w:bottom w:w="0" w:type="dxa"/>
          <w:right w:w="0" w:type="dxa"/>
        </w:tblCellMar>
      </w:tblPr>
      <w:tblGrid>
        <w:gridCol w:w="1366"/>
        <w:gridCol w:w="406"/>
        <w:gridCol w:w="799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867410" cy="29210"/>
                      <wp:effectExtent l="0" t="0" r="0" b="0"/>
                      <wp:wrapNone/>
                      <wp:docPr id="478" name="Frame478"/>
                      <a:graphic xmlns:a="http://schemas.openxmlformats.org/drawingml/2006/main">
                        <a:graphicData uri="http://schemas.microsoft.com/office/word/2010/wordprocessingShape">
                          <wps:wsp>
                            <wps:cNvSpPr txBox="1"/>
                            <wps:spPr>
                              <a:xfrm>
                                <a:off x="0" y="0"/>
                                <a:ext cx="867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57810" cy="29210"/>
                      <wp:effectExtent l="0" t="0" r="0" b="0"/>
                      <wp:wrapNone/>
                      <wp:docPr id="479" name="Frame479"/>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5077460" cy="29210"/>
                      <wp:effectExtent l="0" t="0" r="0" b="0"/>
                      <wp:wrapNone/>
                      <wp:docPr id="480" name="Frame480"/>
                      <a:graphic xmlns:a="http://schemas.openxmlformats.org/drawingml/2006/main">
                        <a:graphicData uri="http://schemas.microsoft.com/office/word/2010/wordprocessingShape">
                          <wps:wsp>
                            <wps:cNvSpPr txBox="1"/>
                            <wps:spPr>
                              <a:xfrm>
                                <a:off x="0" y="0"/>
                                <a:ext cx="507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left"/>
              <w:rPr/>
            </w:pPr>
            <w:r>
              <w:rPr/>
              <w:t> </w:t>
            </w:r>
          </w:p>
        </w:tc>
        <w:tc>
          <w:tcPr>
            <w:tcW w:w="840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9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9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Corleen Roche</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Corleen Roche</w:t>
            </w:r>
          </w:p>
        </w:tc>
      </w:tr>
      <w:tr>
        <w:trPr/>
        <w:tc>
          <w:tcPr>
            <w:tcW w:w="136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240"/>
        <w:ind w:left="0" w:right="0" w:hanging="0"/>
        <w:jc w:val="right"/>
        <w:rPr>
          <w:rFonts w:ascii="Times New Roman;Times;serif" w:hAnsi="Times New Roman;Times;serif"/>
          <w:b/>
          <w:sz w:val="24"/>
        </w:rPr>
      </w:pPr>
      <w:bookmarkStart w:id="1806" w:name="iova-20260630xex10d1.htm"/>
      <w:bookmarkStart w:id="1807" w:name="ksiova20260630xex10d1"/>
      <w:bookmarkEnd w:id="1806"/>
      <w:bookmarkEnd w:id="1807"/>
      <w:r>
        <w:rPr>
          <w:rFonts w:ascii="Times New Roman;Times;serif" w:hAnsi="Times New Roman;Times;serif"/>
          <w:b/>
          <w:sz w:val="24"/>
        </w:rPr>
        <w:t>Exhibit 10.1</w:t>
      </w:r>
      <w:r>
        <w:br w:type="page"/>
      </w:r>
    </w:p>
    <w:p>
      <w:pPr>
        <w:pStyle w:val="TextBody"/>
        <w:bidi w:val="0"/>
        <w:spacing w:before="0" w:after="240"/>
        <w:ind w:left="0" w:right="0" w:hanging="0"/>
        <w:jc w:val="left"/>
        <w:rPr>
          <w:rFonts w:ascii="Times New Roman;Times;serif" w:hAnsi="Times New Roman;Times;serif"/>
          <w:i/>
          <w:sz w:val="24"/>
        </w:rPr>
      </w:pPr>
      <w:r>
        <w:rPr>
          <w:rFonts w:ascii="Times New Roman;Times;serif" w:hAnsi="Times New Roman;Times;serif"/>
          <w:i/>
          <w:sz w:val="24"/>
        </w:rPr>
        <w:t>Portions of this Exhibit have been redacted because they are both (i) not material and (ii) would be competitively harmful if publicly disclosed or constitutes personal information. Information that was omitted has been noted in this document with a placeholder identified by the mark “[***]”.</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b/>
          <w:sz w:val="24"/>
        </w:rPr>
        <w:t>SEPARATION</w:t>
      </w:r>
      <w:r>
        <w:rPr>
          <w:rFonts w:ascii="Times New Roman;Times;serif" w:hAnsi="Times New Roman;Times;serif"/>
          <w:sz w:val="24"/>
        </w:rPr>
        <w:t xml:space="preserve"> </w:t>
      </w:r>
      <w:r>
        <w:rPr>
          <w:rFonts w:ascii="Times New Roman;Times;serif" w:hAnsi="Times New Roman;Times;serif"/>
          <w:b/>
          <w:sz w:val="24"/>
        </w:rPr>
        <w:t>AGREEMENT AND GENERAL RELEASE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This Separation Agreement and General Release (the “</w:t>
      </w:r>
      <w:r>
        <w:rPr>
          <w:rFonts w:ascii="Times New Roman;Times;serif" w:hAnsi="Times New Roman;Times;serif"/>
          <w:sz w:val="24"/>
          <w:u w:val="single"/>
        </w:rPr>
        <w:t>Agreement</w:t>
      </w:r>
      <w:r>
        <w:rPr>
          <w:rFonts w:ascii="Times New Roman;Times;serif" w:hAnsi="Times New Roman;Times;serif"/>
          <w:sz w:val="24"/>
        </w:rPr>
        <w:t>”) is entered into by and between Friedrich-Reinhard Graf Finck von Finckenstein, M.D. (“</w:t>
      </w:r>
      <w:r>
        <w:rPr>
          <w:rFonts w:ascii="Times New Roman;Times;serif" w:hAnsi="Times New Roman;Times;serif"/>
          <w:sz w:val="24"/>
          <w:u w:val="single"/>
        </w:rPr>
        <w:t>Employee</w:t>
      </w:r>
      <w:r>
        <w:rPr>
          <w:rFonts w:ascii="Times New Roman;Times;serif" w:hAnsi="Times New Roman;Times;serif"/>
          <w:sz w:val="24"/>
        </w:rPr>
        <w:t>”), and Iovance Biotherapeutics, Inc. (the “</w:t>
      </w:r>
      <w:r>
        <w:rPr>
          <w:rFonts w:ascii="Times New Roman;Times;serif" w:hAnsi="Times New Roman;Times;serif"/>
          <w:sz w:val="24"/>
          <w:u w:val="single"/>
        </w:rPr>
        <w:t>Company</w:t>
      </w:r>
      <w:r>
        <w:rPr>
          <w:rFonts w:ascii="Times New Roman;Times;serif" w:hAnsi="Times New Roman;Times;serif"/>
          <w:sz w:val="24"/>
        </w:rPr>
        <w:t>”). The term “</w:t>
      </w:r>
      <w:r>
        <w:rPr>
          <w:rFonts w:ascii="Times New Roman;Times;serif" w:hAnsi="Times New Roman;Times;serif"/>
          <w:sz w:val="24"/>
          <w:u w:val="single"/>
        </w:rPr>
        <w:t>Parties</w:t>
      </w:r>
      <w:r>
        <w:rPr>
          <w:rFonts w:ascii="Times New Roman;Times;serif" w:hAnsi="Times New Roman;Times;serif"/>
          <w:sz w:val="24"/>
        </w:rPr>
        <w:t>” or “</w:t>
      </w:r>
      <w:r>
        <w:rPr>
          <w:rFonts w:ascii="Times New Roman;Times;serif" w:hAnsi="Times New Roman;Times;serif"/>
          <w:sz w:val="24"/>
          <w:u w:val="single"/>
        </w:rPr>
        <w:t>Party</w:t>
      </w:r>
      <w:r>
        <w:rPr>
          <w:rFonts w:ascii="Times New Roman;Times;serif" w:hAnsi="Times New Roman;Times;serif"/>
          <w:sz w:val="24"/>
        </w:rPr>
        <w:t>” used herein shall refer to Employee and the Company as appropriate.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WHEREAS, the Parties entered into an Executive Employment Agreement with an Effective Date of May 18, 2019 (the “</w:t>
      </w:r>
      <w:r>
        <w:rPr>
          <w:rFonts w:ascii="Times New Roman;Times;serif" w:hAnsi="Times New Roman;Times;serif"/>
          <w:sz w:val="24"/>
          <w:u w:val="single"/>
        </w:rPr>
        <w:t>Employment Agreement</w:t>
      </w:r>
      <w:r>
        <w:rPr>
          <w:rFonts w:ascii="Times New Roman;Times;serif" w:hAnsi="Times New Roman;Times;serif"/>
          <w:sz w:val="24"/>
        </w:rPr>
        <w:t>”);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WHEREAS, the Parties have agreed on terms of Employee’s separation in accordance with the Employment Agreement and as contained herein;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NOW THEREFORE, the Parties agree as follows: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Last Day of Employment</w:t>
      </w:r>
      <w:r>
        <w:rPr>
          <w:rFonts w:ascii="Times New Roman;Times;serif" w:hAnsi="Times New Roman;Times;serif"/>
          <w:sz w:val="24"/>
        </w:rPr>
        <w:t>. Employee’s last day of employment with the Company is June 8, 2026 (“</w:t>
      </w:r>
      <w:r>
        <w:rPr>
          <w:rFonts w:ascii="Times New Roman;Times;serif" w:hAnsi="Times New Roman;Times;serif"/>
          <w:sz w:val="24"/>
          <w:u w:val="single"/>
        </w:rPr>
        <w:t>Separation Date</w:t>
      </w:r>
      <w:r>
        <w:rPr>
          <w:rFonts w:ascii="Times New Roman;Times;serif" w:hAnsi="Times New Roman;Times;serif"/>
          <w:sz w:val="24"/>
        </w:rPr>
        <w:t xml:space="preserve">”). Employee confirms that on that date Employee was paid all wages due as of the Separation Date, including any unused and accrued vacation, and received any vested benefits, through the Separation Date in accordance with applicable laws and Company policies. As a result of Employee’s separation, Employee’s health insurance benefits will terminate on the last day of the month in which the Separation Date occurred. Employee acknowledges that Employee was provided with information regarding Employee’s right to purchase continuation health care coverage at Employee’s own cost pursuant to the Consolidated Omnibus Budget Reconciliation Act of 1985, as amended (“COBRA”), by separate cover in accordance with applicable law. Employee acknowledges that Employee was not required to sign this Agreement to receive accrued wages and vested benefits or to be entitled to coverage under COBRA at his own expense.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No Further Compensation or Benefits</w:t>
      </w:r>
      <w:r>
        <w:rPr>
          <w:rFonts w:ascii="Times New Roman;Times;serif" w:hAnsi="Times New Roman;Times;serif"/>
          <w:sz w:val="24"/>
        </w:rPr>
        <w:t>. Employee acknowledges that, except as expressly provided in this Agreement, Employee is not owed and will not receive any additional compensation, severance, or benefits from the Company. Employee acknowledges the receipt and accuracy, as of the Separation Date, of the Closing Stock Statement attached hereto as Exhibit 1. Employee acknowledges that Employee’s rights concerning stock options and/or restricted stock units will continue to be governed by Employee’s Stock Option and Restricted Stock Units Agreement(s) with the Company and the Company’s 2018 Equity Incentive Plan, as amended (the “</w:t>
      </w:r>
      <w:r>
        <w:rPr>
          <w:rFonts w:ascii="Times New Roman;Times;serif" w:hAnsi="Times New Roman;Times;serif"/>
          <w:sz w:val="24"/>
          <w:u w:val="single"/>
        </w:rPr>
        <w:t>Equity Plan</w:t>
      </w:r>
      <w:r>
        <w:rPr>
          <w:rFonts w:ascii="Times New Roman;Times;serif" w:hAnsi="Times New Roman;Times;serif"/>
          <w:sz w:val="24"/>
        </w:rPr>
        <w:t xml:space="preserve">”). Employee further affirms that, as of the Separation Date, Employee has (a) been </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paid and/or has received all compensation, wages, bonuses, commissions, and benefits to which Employee may have been entitled and that no other compensation, wages, bonuses, commissions, benefits or leave are due to Employee, except as provided in this Agreement; (b) not sustained any known workplace injuries or otherwise suffered an occupational disease; (c) been provided and/or was not denied any leave to which Employee was entitled under the Family and Medical Leave Act or related state or local laws or any other leave provided under applicable federal state or local laws; and (d) been provided a forum through which to raise concerns about the Company or its officers, including any allegations of corporate fraud or wrongdoing, during the course of Employee’s employment. For the avoidance of doubt, Employee will not be eligible to receive (i) any annual bonus under the Company’s annual incentive compensation program, or (ii) any additional grants of equity or equity-based awards under the Equity Plan, or otherwise, in each case, in respect of the 2026 calendar year or thereafter.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Separation Benefits.</w:t>
      </w:r>
      <w:r>
        <w:rPr>
          <w:rFonts w:ascii="Times New Roman;Times;serif" w:hAnsi="Times New Roman;Times;serif"/>
          <w:sz w:val="24"/>
        </w:rPr>
        <w:t xml:space="preserve"> Provided Employee (i) signs and does not revoke this Agreement and complies with its terms and conditions (including, without limitation, the obligations regarding Company proprietary information and property set forth in Paragraph 13 below), and (ii) complies with all surviving provisions of all agreements concerning Employee’s employment with and separation from employment with the Company, including but not limited to confidentiality and proprietary information agreements, and in consideration for the general release of claims set forth below, the Company shall pay to Employee a cash payment in the amount of $310,645.50 less applicable tax withholdings and deductions (the “</w:t>
      </w:r>
      <w:r>
        <w:rPr>
          <w:rFonts w:ascii="Times New Roman;Times;serif" w:hAnsi="Times New Roman;Times;serif"/>
          <w:sz w:val="24"/>
          <w:u w:val="single"/>
        </w:rPr>
        <w:t>Severance Payment</w:t>
      </w:r>
      <w:r>
        <w:rPr>
          <w:rFonts w:ascii="Times New Roman;Times;serif" w:hAnsi="Times New Roman;Times;serif"/>
          <w:sz w:val="24"/>
        </w:rPr>
        <w:t xml:space="preserve">”). The Severance Payment shall be reported in an IRS Form W-2. The Severance Payment shall be paid to Employee in a lump sum on the first payroll date that occurs no sooner than seven days after the </w:t>
      </w:r>
      <w:r>
        <w:rPr>
          <w:rFonts w:ascii="Times New Roman;Times;serif" w:hAnsi="Times New Roman;Times;serif"/>
          <w:sz w:val="24"/>
          <w:u w:val="single"/>
        </w:rPr>
        <w:t>Effective Date</w:t>
      </w:r>
      <w:r>
        <w:rPr>
          <w:rFonts w:ascii="Times New Roman;Times;serif" w:hAnsi="Times New Roman;Times;serif"/>
          <w:sz w:val="24"/>
        </w:rPr>
        <w:t xml:space="preserve"> defined below in Paragraph 4.</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Review and Revocation Period. Effective Date.</w:t>
      </w:r>
      <w:r>
        <w:rPr>
          <w:rFonts w:ascii="Times New Roman;Times;serif" w:hAnsi="Times New Roman;Times;serif"/>
          <w:sz w:val="24"/>
        </w:rPr>
        <w:t xml:space="preserve"> Employee has up to twenty-one (21) calendar days following receipt of this Agreement to sign and return the Agreement to Tracy Winton in person or electronically via DocuSign (“</w:t>
      </w:r>
      <w:r>
        <w:rPr>
          <w:rFonts w:ascii="Times New Roman;Times;serif" w:hAnsi="Times New Roman;Times;serif"/>
          <w:sz w:val="24"/>
          <w:u w:val="single"/>
        </w:rPr>
        <w:t>Review Period</w:t>
      </w:r>
      <w:r>
        <w:rPr>
          <w:rFonts w:ascii="Times New Roman;Times;serif" w:hAnsi="Times New Roman;Times;serif"/>
          <w:sz w:val="24"/>
        </w:rPr>
        <w:t>”). Employee may sign and return the Agreement prior to the expiration of the Review Period but by doing so he waives any remaining portion of the Review Period. Thereafter, Employee has seven days to revoke his acceptance of this Agreement by sending a notice of revocation to Tracy Winton at tracy.winton@iovance.com and as follows (“</w:t>
      </w:r>
      <w:r>
        <w:rPr>
          <w:rFonts w:ascii="Times New Roman;Times;serif" w:hAnsi="Times New Roman;Times;serif"/>
          <w:sz w:val="24"/>
          <w:u w:val="single"/>
        </w:rPr>
        <w:t>Revocation Period</w:t>
      </w:r>
      <w:r>
        <w:rPr>
          <w:rFonts w:ascii="Times New Roman;Times;serif" w:hAnsi="Times New Roman;Times;serif"/>
          <w:sz w:val="24"/>
        </w:rPr>
        <w:t>”). For any revocation to be effective, Employee understands and agrees that Employee must notify the Company of the revocation in an express, signed writing delivered to the attention of Human Resources and Legal Departments, Iovance Biotherapeutics, Inc., 825 Industrial Road, Suite 100, San Carlos, CA 94070, with an electronic copy sent to legal@iovance.com, within seven (7) calendar days following Employee’s execution of this Agreement. The Agreement shall be final and irrevocable on the 8th day after the Employee has accepted the Agreement provided it has not been revoked(“</w:t>
      </w:r>
      <w:r>
        <w:rPr>
          <w:rFonts w:ascii="Times New Roman;Times;serif" w:hAnsi="Times New Roman;Times;serif"/>
          <w:sz w:val="24"/>
          <w:u w:val="single"/>
        </w:rPr>
        <w:t>Effective Date</w:t>
      </w:r>
      <w:r>
        <w:rPr>
          <w:rFonts w:ascii="Times New Roman;Times;serif" w:hAnsi="Times New Roman;Times;serif"/>
          <w:sz w:val="24"/>
        </w:rPr>
        <w:t xml:space="preserve">”). </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Expenses Paid</w:t>
      </w:r>
      <w:r>
        <w:rPr>
          <w:rFonts w:ascii="Times New Roman;Times;serif" w:hAnsi="Times New Roman;Times;serif"/>
          <w:sz w:val="24"/>
        </w:rPr>
        <w:t>. By signing this Agreement, Employee represents that Employee has been reimbursed for all necessary business expenses Employee incurred during Employee’s employment with the Company through the Separation Date.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Withholding Taxes; Liabilities</w:t>
      </w:r>
      <w:r>
        <w:rPr>
          <w:rFonts w:ascii="Times New Roman;Times;serif" w:hAnsi="Times New Roman;Times;serif"/>
          <w:sz w:val="24"/>
        </w:rPr>
        <w:t>. The Company will deduct and withhold from any payments to Employee all sums that it may be required to withhold pursuant to applicable tax withholding laws or regulations. In addition, Employee expressly agrees and represents that any additional federal, state or local tax or contribution that may be owed or payable on the payment identified in Paragraph 3 are Employee’s sole responsibility and that Employee will indemnify, defend and hold the Company harmless from and against any and all liability or claim for any tax or contribution or any penalty or interest thereon that may be incurred or demanded as a result of the receipt of the consideration provided for in this Agreement and which has not been paid by Employee.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Internal Revenue Code 409A</w:t>
      </w:r>
      <w:r>
        <w:rPr>
          <w:rFonts w:ascii="Times New Roman;Times;serif" w:hAnsi="Times New Roman;Times;serif"/>
          <w:sz w:val="24"/>
        </w:rPr>
        <w:t>. The Company intends for the compensation arrangements under this Agreement to either be exempt from or to comply with Section 409A of the Internal Revenue Code (“</w:t>
      </w:r>
      <w:r>
        <w:rPr>
          <w:rFonts w:ascii="Times New Roman;Times;serif" w:hAnsi="Times New Roman;Times;serif"/>
          <w:sz w:val="24"/>
          <w:u w:val="single"/>
        </w:rPr>
        <w:t>Section 409A</w:t>
      </w:r>
      <w:r>
        <w:rPr>
          <w:rFonts w:ascii="Times New Roman;Times;serif" w:hAnsi="Times New Roman;Times;serif"/>
          <w:sz w:val="24"/>
        </w:rPr>
        <w:t>”). This Agreement shall be construed in a manner to give effect to such intention.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In no event whatsoever (including, but not limited to, as a result of this section or otherwise) shall the Company be liable for any tax, interest or penalties that may be imposed on Employee under Section 409A. The Company shall have no obligation to indemnify or otherwise hold Employee harmless from any or all such taxes, interest or penalties, or liability for any damages related thereto. Employee acknowledges that Employee has been advised to obtain independent legal, tax or other counsel in connection with Section 409A.</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Release</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In consideration of the payments and benefits described above, receipt of which Employee hereby acknowledges, Employee, on behalf of Employee, Employee’s heirs, executors, administrators and assigns, and each of them, hereby fully and unconditionally releases the Company, its respective subsidiaries, related companies, and affiliates, and each entity managed or advised by any of them, past, present, and future, as well as their managers, directors, officers, agents, attorneys, employees, partners, members/stockholders, representatives, benefit plan fiduciaries, insurers, assigns, and successors, past and present and each of them (collectively, in their individual and representative capacities, the “</w:t>
            </w:r>
            <w:r>
              <w:rPr>
                <w:rFonts w:ascii="Times New Roman;Times;serif" w:hAnsi="Times New Roman;Times;serif"/>
                <w:b w:val="false"/>
                <w:i w:val="false"/>
                <w:caps w:val="false"/>
                <w:smallCaps w:val="false"/>
                <w:sz w:val="24"/>
                <w:u w:val="single"/>
              </w:rPr>
              <w:t>Released Parties</w:t>
            </w:r>
            <w:r>
              <w:rPr>
                <w:caps w:val="false"/>
                <w:smallCaps w:val="false"/>
              </w:rPr>
              <w:t>”</w:t>
            </w:r>
            <w:r>
              <w:rPr>
                <w:rFonts w:ascii="Times New Roman;Times;serif" w:hAnsi="Times New Roman;Times;serif"/>
                <w:b w:val="false"/>
                <w:i w:val="false"/>
                <w:caps w:val="false"/>
                <w:smallCaps w:val="false"/>
                <w:sz w:val="24"/>
              </w:rPr>
              <w:t xml:space="preserve">), from and with respect to any and all legally waivable claims, complaints, rights, suits and actions, which Employee ever had, now has or may have against the Released Parties up to the date Employee signs this </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Agreement, and particularly, but without limitation, any claims arising from or relating in any way to Employee’s employment relationship or the termination of Employee’s employment relationship with the Company, including claims related to complaints Employee has made, if any, claims under Title VII of the Civil Rights Act of 1964, as amended; the Civil Rights Act of 1866, 1871 and 1991; the Americans with Disabilities Act of 1990, as amended; the Family and Medical Leave Act; the Genetic Information Nondiscrimination Act of 2008; the Employee Retirement Income Security Act of 1974; the Workers Adjustment and Retraining Notification Act; the National Labor Relations Act; the False Claims Act; the California Constitution; the California Fair Employment and Housing Act; the California Family Rights Act; the California Unruh Act; the California Business and Professions Code, the California Labor Code, any public policy, contract, tort, or common law, or any allegation for costs, fees, or other expenses including attorneys’ fees but excluding their right to indemnification under California Labor Code § 2802; and any and all other federal, state and local laws or obligations regulating the employment relationship between the parties, or by reason of any matter, cause or thing whatsoever, whether known or unknown and any and all claims for attorneys’ fees and costs; and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 (the “</w:t>
            </w:r>
            <w:r>
              <w:rPr>
                <w:rFonts w:ascii="Times New Roman;Times;serif" w:hAnsi="Times New Roman;Times;serif"/>
                <w:b w:val="false"/>
                <w:i w:val="false"/>
                <w:caps w:val="false"/>
                <w:smallCaps w:val="false"/>
                <w:sz w:val="24"/>
                <w:u w:val="single"/>
              </w:rPr>
              <w:t>Claims</w:t>
            </w:r>
            <w:r>
              <w:rPr>
                <w:caps w:val="false"/>
                <w:smallCaps w:val="false"/>
              </w:rPr>
              <w:t>”</w:t>
            </w:r>
            <w:r>
              <w:rPr>
                <w:rFonts w:ascii="Times New Roman;Times;serif" w:hAnsi="Times New Roman;Times;serif"/>
                <w:b w:val="false"/>
                <w:i w:val="false"/>
                <w:caps w:val="false"/>
                <w:smallCaps w:val="false"/>
                <w:sz w:val="24"/>
              </w:rPr>
              <w:t xml:space="preserve">), except for claims for enforcement of Employee’s rights under this Agreement, claims that may arise after the date the Employee signs this Agreement, and claims that cannot be waived as a matter of law. </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Notwithstanding anything in this Agreement to the contrary, nothing in this Agreement prohibits Employee from confidentially or otherwise communicating or filing a charge or complaint with a governmental or regulatory entity, participating in a governmental or regulatory entity investigation, or giving other disclosures to a governmental or regulatory entity in each case without receiving prior authorization from or having</w:t>
            </w:r>
            <w:r>
              <w:rPr>
                <w:caps w:val="false"/>
                <w:smallCaps w:val="false"/>
              </w:rPr>
              <w:t xml:space="preserve"> </w:t>
            </w:r>
            <w:r>
              <w:rPr>
                <w:rFonts w:ascii="Times New Roman;Times;serif" w:hAnsi="Times New Roman;Times;serif"/>
                <w:b w:val="false"/>
                <w:i w:val="false"/>
                <w:caps w:val="false"/>
                <w:smallCaps w:val="false"/>
                <w:sz w:val="24"/>
              </w:rPr>
              <w:t>to disclose any such conduct to the Company, or from responding if properly subpoenaed or otherwise required to do so under applicable law. Nothing in this Agreement shall be construed to affect the Equal Employment Opportunity Commission’s (“</w:t>
            </w:r>
            <w:r>
              <w:rPr>
                <w:rFonts w:ascii="Times New Roman;Times;serif" w:hAnsi="Times New Roman;Times;serif"/>
                <w:b w:val="false"/>
                <w:i w:val="false"/>
                <w:caps w:val="false"/>
                <w:smallCaps w:val="false"/>
                <w:sz w:val="24"/>
                <w:u w:val="single"/>
              </w:rPr>
              <w:t>Commission</w:t>
            </w:r>
            <w:r>
              <w:rPr>
                <w:caps w:val="false"/>
                <w:smallCaps w:val="false"/>
              </w:rPr>
              <w:t>”</w:t>
            </w:r>
            <w:r>
              <w:rPr>
                <w:rFonts w:ascii="Times New Roman;Times;serif" w:hAnsi="Times New Roman;Times;serif"/>
                <w:b w:val="false"/>
                <w:i w:val="false"/>
                <w:caps w:val="false"/>
                <w:smallCaps w:val="false"/>
                <w:sz w:val="24"/>
              </w:rPr>
              <w:t>), the National Labor Relations Board’s, the Occupational Safety and Health Administration’s, the Securities and Exchange Commission’s, the Financial Industry Regulatory Authority’s, or any federal, state, or local governmental agency or commission’s (“</w:t>
            </w:r>
            <w:r>
              <w:rPr>
                <w:rFonts w:ascii="Times New Roman;Times;serif" w:hAnsi="Times New Roman;Times;serif"/>
                <w:b w:val="false"/>
                <w:i w:val="false"/>
                <w:caps w:val="false"/>
                <w:smallCaps w:val="false"/>
                <w:sz w:val="24"/>
                <w:u w:val="single"/>
              </w:rPr>
              <w:t>Governmental Agencies</w:t>
            </w:r>
            <w:r>
              <w:rPr>
                <w:caps w:val="false"/>
                <w:smallCaps w:val="false"/>
              </w:rPr>
              <w:t>”</w:t>
            </w:r>
            <w:r>
              <w:rPr>
                <w:rFonts w:ascii="Times New Roman;Times;serif" w:hAnsi="Times New Roman;Times;serif"/>
                <w:b w:val="false"/>
                <w:i w:val="false"/>
                <w:caps w:val="false"/>
                <w:smallCaps w:val="false"/>
                <w:sz w:val="24"/>
              </w:rPr>
              <w:t xml:space="preserve">) or any state agency’s independent right and responsibility to enforce the law, nor does this Agreement affect Employee’s right to file a charge or participate in an </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investigation or proceeding conducted by either the Commission or any such Governmental Agency. This Agreement does not limit Employee’s right to receive an award for information provided to any Governmental Agencies, including under the Dodd-Frank Wall Street Reform and Consumer Protection Act of 2010 (“</w:t>
            </w:r>
            <w:r>
              <w:rPr>
                <w:rFonts w:ascii="Times New Roman;Times;serif" w:hAnsi="Times New Roman;Times;serif"/>
                <w:b w:val="false"/>
                <w:i w:val="false"/>
                <w:caps w:val="false"/>
                <w:smallCaps w:val="false"/>
                <w:sz w:val="24"/>
                <w:u w:val="single"/>
              </w:rPr>
              <w:t>Dodd-Frank</w:t>
            </w:r>
            <w:r>
              <w:rPr>
                <w:caps w:val="false"/>
                <w:smallCaps w:val="false"/>
              </w:rPr>
              <w:t>”</w:t>
            </w:r>
            <w:r>
              <w:rPr>
                <w:rFonts w:ascii="Times New Roman;Times;serif" w:hAnsi="Times New Roman;Times;serif"/>
                <w:b w:val="false"/>
                <w:i w:val="false"/>
                <w:caps w:val="false"/>
                <w:smallCaps w:val="false"/>
                <w:sz w:val="24"/>
              </w:rPr>
              <w:t>). Further, nothing in this Agreement prohibits Employee from testifying in an administrative, legislative or judicial proceeding regarding alleged criminal conduct or alleged unlawful employment practices (including sexual harassment) by any person or entity, when the Employee has been required or requested to attend such proceeding pursuant to court order, subpoena, or written request from an administrative agency or the legislature. Moreover, nothing in this Agreement prevents the disclosure of factual information relating to unlawful employment practices including claims of sexual assault, sexual harassment, harassment or discrimination, failure to prevent harassment or discrimination or retaliation against a person for reporting an act of harassment or discrimination. Nothing in this Agreement is intended to prohibit Employee from disclosing or reporting conduct which Employee has reason to believe are unlawful such as discrimination or harassment. Nothing in this Agreement prohibits or creates liability for any such protected conduct. Nothing in this Agreement modifies or supersedes Iovance’s indemnification obligations applicable to Employee as set forth in Article IX of Iovance’s Bylaws, as amended and restated, for so long after employment as Employee may reasonably be subject to any claim or liability arising from or relating to his employment.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Execution of this Agreement does not bar any claim that arises hereafter, including (without limitation) a claim for breach of this Agreement, any claim to indemnity under section 2802 of the California Labor Code, any claim for unemployment benefits, any claim for workers’ compensation benefits, any claim for vested rights under an ERISA-covered employee benefit plan, or any other claim that by law may not be released. Employee also does not release or waive Employee’s right to enforce this Agreement.</w:t>
            </w:r>
            <w:r>
              <w:rPr>
                <w:caps w:val="false"/>
                <w:smallCaps w:val="false"/>
              </w:rPr>
              <w:t xml:space="preserve"> </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9.</w:t>
      </w:r>
      <w:r>
        <w:rPr>
          <w:rFonts w:ascii="Times New Roman;Times;serif" w:hAnsi="Times New Roman;Times;serif"/>
          <w:sz w:val="24"/>
          <w:u w:val="single"/>
        </w:rPr>
        <w:t>Waiver of Unknown Claims</w:t>
      </w:r>
      <w:r>
        <w:rPr>
          <w:rFonts w:ascii="Times New Roman;Times;serif" w:hAnsi="Times New Roman;Times;serif"/>
          <w:sz w:val="24"/>
        </w:rPr>
        <w:t>. Employee hereby acknowledges that Employee understands that the facts with respect to which this Agreement is given may turn out to be different from the facts now known or believed to be true by Employee, and accepts and assumes the risk of the facts turning out to be different, and agrees that this Agreement shall remain in all respects effective and not subject to termination or rescission by virtue of such difference in facts. Employee acknowledges that Employee has been advised that by this Agreement they are waiving claims pursuant to California Civil Code Section 1542 or the laws of other states similar hereto, and Employee expressly waives such rights as quoted below:</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pPr>
      <w:r>
        <w:rPr/>
        <w:t>“</w:t>
      </w:r>
      <w:r>
        <w:rPr>
          <w:rFonts w:ascii="Times New Roman;Times;serif" w:hAnsi="Times New Roman;Times;serif"/>
          <w:b/>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Employee hereby expressly waives any rights Employee may have under any other statute or common law principles of similar effect.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10.</w:t>
      </w:r>
      <w:r>
        <w:rPr>
          <w:rFonts w:ascii="Times New Roman;Times;serif" w:hAnsi="Times New Roman;Times;serif"/>
          <w:sz w:val="24"/>
          <w:u w:val="single"/>
        </w:rPr>
        <w:t>No Pending Claims</w:t>
      </w:r>
      <w:r>
        <w:rPr>
          <w:rFonts w:ascii="Times New Roman;Times;serif" w:hAnsi="Times New Roman;Times;serif"/>
          <w:sz w:val="24"/>
        </w:rPr>
        <w:t>. Employee affirms that at the time of signing this Agreement, Employee has not filed, caused to be filed, or presently is a party to any claim, complaint, or action against the Released Parties in any forum, except whistleblowing claims that do not have to be revealed. In addition, Employee agrees that as a condition of the consideration set forth in Paragraph 3 above and if Employee executes this Agreement before the Separation Date, he will execute the Additional Release on the Separation Date.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Confidential Information</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Apart from the exceptions set forth in Paragraphs 8(b) through (c) above, Employee agrees that all terms and conditions of any confidentiality or proprietary information agreement including, without limitation, any such provision in Employee’s Employee Proprietary Information and Invention Assignment Agreement (the “</w:t>
            </w:r>
            <w:r>
              <w:rPr>
                <w:rFonts w:ascii="Times New Roman;Times;serif" w:hAnsi="Times New Roman;Times;serif"/>
                <w:b w:val="false"/>
                <w:i w:val="false"/>
                <w:caps w:val="false"/>
                <w:smallCaps w:val="false"/>
                <w:sz w:val="24"/>
                <w:u w:val="single"/>
              </w:rPr>
              <w:t>EPIIA</w:t>
            </w:r>
            <w:r>
              <w:rPr>
                <w:caps w:val="false"/>
                <w:smallCaps w:val="false"/>
              </w:rPr>
              <w:t>”</w:t>
            </w:r>
            <w:r>
              <w:rPr>
                <w:rFonts w:ascii="Times New Roman;Times;serif" w:hAnsi="Times New Roman;Times;serif"/>
                <w:b w:val="false"/>
                <w:i w:val="false"/>
                <w:caps w:val="false"/>
                <w:smallCaps w:val="false"/>
                <w:sz w:val="24"/>
              </w:rPr>
              <w:t>) and relevant parts of the employee handbook Employee signed and acknowledged while employed by the Company shall survive this Agreement and remain in full force and effect. Attached to this Agreement as Exhibit 2 is the EPIIA signed by Employee and the Company.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In addition, Employee further acknowledges and agrees that, in the course of Employee’s employment with the Company, Employee came to know and had access to confidential business information, including (i) financial and business information, such as information with respect to costs, commissions, fees, profits, sales, markets, mailing lists, strategies and plans for future business, new business, product or other development, potential acquisitions or divestitures, and new marketing ideas; (ii) product and technical information, such as product formulations, new and innovative product ideas, methods, procedures, devices, machines, equipment, data processing programs, software, software codes, computer models, and research and development projects; (iii) marketing information, such as marketing plans and procedures, product plans, procurement and pricing practices and policies, manuals, and marketing strategies; (iv) supplier information, including the identity of the Company’s suppliers, their names and addresses, the identity of supplier </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representatives responsible for entering into contracts with the Company, the amounts paid by the Company to such suppliers, and related information; (v) customer information, such as the names and addresses of Company customers, the identity of customer representatives responsible for entering into contracts with or purchasing goods from the Company, specific customer preferences, needs and requirements, customer lists, notations of customers (in any form), and leads and referrals to prospective customers; (vi) any other customer information, marketing plans, and business plans, which are confidential and proprietary to the Company, disclosure of which would be injurious to the Company; and (vii) any of the foregoing categories of confidential business information that may also be considered to be material non-public information pursuant to applicable securities laws (collectively, “</w:t>
            </w:r>
            <w:r>
              <w:rPr>
                <w:rFonts w:ascii="Times New Roman;Times;serif" w:hAnsi="Times New Roman;Times;serif"/>
                <w:b w:val="false"/>
                <w:i w:val="false"/>
                <w:caps w:val="false"/>
                <w:smallCaps w:val="false"/>
                <w:sz w:val="24"/>
                <w:u w:val="single"/>
              </w:rPr>
              <w:t>Confidential Information</w:t>
            </w:r>
            <w:r>
              <w:rPr>
                <w:caps w:val="false"/>
                <w:smallCaps w:val="false"/>
              </w:rPr>
              <w:t>”</w:t>
            </w:r>
            <w:r>
              <w:rPr>
                <w:rFonts w:ascii="Times New Roman;Times;serif" w:hAnsi="Times New Roman;Times;serif"/>
                <w:b w:val="false"/>
                <w:i w:val="false"/>
                <w:caps w:val="false"/>
                <w:smallCaps w:val="false"/>
                <w:sz w:val="24"/>
              </w:rPr>
              <w: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Apart from the exceptions set forth in Paragraphs 8(b) and (c) above, Employee agrees not to disclose Confidential Information to anyone and not to use Confidential Information for any purpose whatsoever except to the extent that Employee can demonstrate by competent evidence that such information: (i) is publicly available, or (ii) hereafter becomes so available without default under this Agreement, or (iii) was already in the Employee’s possession prior to being disclosed or provided to the Employee by or on behalf of the Company, provided, that the source of such information or material was not bound by a contractual, legal or fiduciary obligation or confidentiality to the non-disclosing party or any other party with respect thereto, or (iv) was or is obtained by the Employee from a third party, provided, that such third party was not bound by a contractual, legal or fiduciary obligation of confidentiality to the non-disclosing party or any other party with respect to such information or material, or (v) is independently developed by the Employee without use of, reference to or reliance upon Confidential Information. However, as provided by the Federal Defend Trade Secrets Act, nothing in this Agreement shall be interpreted to restrict Employee’s ability to disclose Confidential Information in confidence to a federal, state or local government official, or to an attorney, when such disclosure is made solely for the purpose of investigating or reporting a suspected violation of law. Further, it shall not constitute a violation of this Agreement for an employee to disclose such confidential information in a complaint or other document filed in a lawsuit or other proceeding if such filing is made under seal.</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12.Employee also acknowledges that unauthorized disclosure of the Company’s Confidential Information would cause the Company irreparable harm. Therefore, upon the breach or threatened breach of any of the provisions of this Paragraph, the EPIIA, and the relevant sections of the employee handbook, Employee </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acknowledges that the Company shall be entitled to obtain an injunction, with or without notice and without requiring a bond to be posted, restraining the breach in any court of competent jurisdiction notwithstanding the existence of any agreements between the Company and the Employee to arbitrate certain disputes or the consent to jurisdiction provisions set forth in this Agreement. Irrespective of the forum in which the Company pursues an injunction, the California choice of law provision set forth in this Agreement shall apply. The issuance of an injunction shall not prohibit the Company from pursuing any other remedies available to it, including recovery of damages. The Company reserves all rights it has to protect its Confidential Information against disclosure or use in any act constituting unfair competition.</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Company Property</w:t>
      </w:r>
      <w:r>
        <w:rPr>
          <w:rFonts w:ascii="Times New Roman;Times;serif" w:hAnsi="Times New Roman;Times;serif"/>
          <w:sz w:val="24"/>
        </w:rPr>
        <w:t>. Employee confirms that, upon the Separation Date, Employee will return all property of the Company that was in Employee’s possession during Employee’s employment. All returned property includes without limitation: all Company documents; all lists and contact information relating to, and any and all other documents identifying, any third party relationships and prospective relationships; all files and other material pertaining to clients, transactions, and other dealings or relationships between the Company and any other firm, organization, company or entity; all term sheets, contracts, agreements and transaction documents of any type whatsoever, including drafts thereof, and all notes or similar records pertaining to any transaction, proposed or possible transaction and any client or other relationship; and, without limiting the foregoing, any and all documents obtained from the Company or generated in the course of Employee’s work on behalf of the Company, including but not limited to Confidential Information. Company property shall also include office keys, building identification card, laptop, computer, telephone, storage devices, other similar devices, and any other Company property in Employee’s possession.</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Employee further understands and agrees, as outlined and defined in this Agreement and in the EPIIA signed by Employee, the employment agreement, and the employee handbook acknowledged by Employee during Employee’s employment with the Company, that all proprietary or confidential information or trade secrets concerning the Company or its businesses, products, or services, including but not limited to information concerning business strategies or plans, systems, products and services and their development, technical information, marketing, sales activities and procedures, promotion and pricing techniques, policies and procedures, cost, financial data, and customer, client, and vendor information is the exclusive property of the Company.</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Employee acknowledges that Employee may be in possession of material non-public information as defined in the Company’s insider trading policy. Employee agrees that it is Employee’s sole responsibility to comply, and that Employee will comply, with all securities laws and regulations. Employee agrees not to trade in securities of the Company nor cause or advise others to trade in the securities of the Company while </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possession of, or on the basis of, material non-public information. Employee further acknowledges that, while Employee was an employee, Employee was subject to the Company’s insider trading policy. From time to time, the Company has imposed blackout periods which prohibited the trading of Company stock during that period. Employee acknowledges that Employee may have been subject to a blackout period at the time of Employee’s leaving the Company.</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14.</w:t>
      </w:r>
      <w:r>
        <w:rPr>
          <w:rFonts w:ascii="Times New Roman;Times;serif" w:hAnsi="Times New Roman;Times;serif"/>
          <w:sz w:val="24"/>
          <w:u w:val="single"/>
        </w:rPr>
        <w:t>Confidentiality</w:t>
      </w:r>
      <w:r>
        <w:rPr>
          <w:rFonts w:ascii="Times New Roman;Times;serif" w:hAnsi="Times New Roman;Times;serif"/>
          <w:sz w:val="24"/>
        </w:rPr>
        <w:t xml:space="preserve">. </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Employee shall make no mention of, or allude in any way whatsoever, to the financial terms of this Agreement. Notwithstanding the foregoing restriction, it is understood that as the sole exceptions to this confidentiality/non-disclosure provision, Employee may discuss the financial terms of this Agreement: (a) if required to do so by a binding lawful order; (b) if necessary to implement this Agreement or to enforce the Agreement or any of its terms; (c) as part of the filing, or participation in a proceeding relating to an alleged violation of any federal, state or municipal law relating to fraud, or any rule or regulation of the Securities and Exchange Commission, or any self-regulatory organization, and/or pursuant to the Sarbanes-Oxley Act or Dodd-Frank; (d) with Employee’s attorney, accountant and/or tax advisor in order to obtain professional advice within the scope of their representation; and (e) with members of Employee’s immediate family. Employee further agrees that if Employee communicates or discloses the financial terms of this settlement to any of these individuals, Employee will also instruct such person not to disclose any such information to any other unauthorized person or entity. Employee acknowledges and agrees that this confidentiality/non-disclosure provision is an express and absolute condition of this Agreement, that there is bargained-for consideration for this Agreement, not just a mere recital, and that any violation of the terms and conditions of this confidentiality/non-disclosure provision shall constitute a material breach of this Agreement. Any disclosure or dissemination by Employee of the financial terms of this Agreement, other than as described in this Paragraph, will be regarded as a breach of this Agreement and a cause of action shall immediately accrue for damages and injunctive relief. Employee understands and acknowledges that nothing in this Paragraph is intended to prohibit Employee from reporting concerns to, filing a charge or complaint with, making lawful disclosures to, providing documents or other information to or participating in an investigation or hearing conducted by the Equal Employment Opportunity Commission (EEOC), National Labor Relations Board (NLRB), Securities and Exchange Commission (SEC) or any other federal, state or local agency charged with the enforcement of any laws. Employee further understands and acknowledges that nothing about this Paragraph should be construed to </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interfere with Employee’s right to disclose or report conduct which he has reason to believe is unlawful such as harassment or discrimination.</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U.S. Defend Trade Secrets Act.  The U.S. Defend Trade Secrets Act of 2016 (“</w:t>
            </w:r>
            <w:r>
              <w:rPr>
                <w:rFonts w:ascii="Times New Roman;Times;serif" w:hAnsi="Times New Roman;Times;serif"/>
                <w:b w:val="false"/>
                <w:i w:val="false"/>
                <w:caps w:val="false"/>
                <w:smallCaps w:val="false"/>
                <w:sz w:val="24"/>
                <w:u w:val="single"/>
              </w:rPr>
              <w:t>DTSA</w:t>
            </w:r>
            <w:r>
              <w:rPr>
                <w:caps w:val="false"/>
                <w:smallCaps w:val="false"/>
              </w:rPr>
              <w:t>”</w:t>
            </w:r>
            <w:r>
              <w:rPr>
                <w:rFonts w:ascii="Times New Roman;Times;serif" w:hAnsi="Times New Roman;Times;serif"/>
                <w:b w:val="false"/>
                <w:i w:val="false"/>
                <w:caps w:val="false"/>
                <w:smallCaps w:val="false"/>
                <w:sz w:val="24"/>
              </w:rPr>
              <w:t>) provides that an individual shall not be held criminally or civilly liable under any federal or state trade secret law for the disclosure of a trade secret that is made (a) (i) in confidence to a federal, state, or local government official, either directly or indirectly, or to an attorney, and (ii) solely for the purpose of reporting or investigating a suspected violation of law; or (b) in a complaint or other document filed in a lawsuit or other proceeding, if such filing is made under seal. </w:t>
            </w:r>
            <w:r>
              <w:rPr>
                <w:caps w:val="false"/>
                <w:smallCaps w:val="false"/>
              </w:rPr>
              <w:t xml:space="preserve"> </w:t>
            </w:r>
            <w:r>
              <w:rPr>
                <w:rFonts w:ascii="Times New Roman;Times;serif" w:hAnsi="Times New Roman;Times;serif"/>
                <w:b w:val="false"/>
                <w:i w:val="false"/>
                <w:caps w:val="false"/>
                <w:smallCaps w:val="false"/>
                <w:sz w:val="24"/>
              </w:rPr>
              <w:t>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Nothing in this Agreement is intended to limit any rights under such federal law.</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15.</w:t>
      </w:r>
      <w:r>
        <w:rPr>
          <w:rFonts w:ascii="Times New Roman;Times;serif" w:hAnsi="Times New Roman;Times;serif"/>
          <w:sz w:val="24"/>
          <w:u w:val="single"/>
        </w:rPr>
        <w:t>Non-Disparagement</w:t>
      </w:r>
      <w:r>
        <w:rPr>
          <w:rFonts w:ascii="Times New Roman;Times;serif" w:hAnsi="Times New Roman;Times;serif"/>
          <w:sz w:val="24"/>
        </w:rPr>
        <w:t>. Employee agrees not to slander or defame the Company or its services, including on the internet or any blog or social networking site. A defamatory statement is any communication, oral or written, that is knowingly false and would cause or tend to cause humiliation or embarrassment or cause a recipient to question the business condition, integrity, product and service, quality, confidence or good character of the Company. Employee understands and acknowledges that nothing in this Paragraph is intended to prohibit Employee from reporting concerns to, filing a charge or complaint with, making lawful disclosures to, providing documents or other information to or participating in an investigation or hearing conducted by the Equal Employment Opportunity Commission (EEOC), National Labor Relations Board (NLRB), Securities and Exchange Commission (SEC) or any other federal, state or local agency charged with the enforcement of any laws. Employee understands that nothing in this Agreement prohibits the disclosure or reporting of workplace conduct that he has reason to believe is unlawful such as harassment or discrimination.</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Iovance shall instruct its executive leadership team that they shall not make any remark or statement, whether verbal or in writing, except where required by law, that reasonably may be construed as disparaging to Employee to any third parties. Should Iovance receive a request for a reference or employment verification regarding Employee from a third party, it shall refer the matter to its Human Resources department, which shall respond by providing only Employee’s dates of employment and job title.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16.</w:t>
      </w:r>
      <w:r>
        <w:rPr>
          <w:rFonts w:ascii="Times New Roman;Times;serif" w:hAnsi="Times New Roman;Times;serif"/>
          <w:sz w:val="24"/>
          <w:u w:val="single"/>
        </w:rPr>
        <w:t>Cooperation</w:t>
      </w:r>
      <w:r>
        <w:rPr>
          <w:rFonts w:ascii="Times New Roman;Times;serif" w:hAnsi="Times New Roman;Times;serif"/>
          <w:sz w:val="24"/>
        </w:rPr>
        <w:t xml:space="preserve">. Employee and Employer agree to mutually cooperate should Employee’s assistance be required in the prosecution and/or defense of any claim in which the Released Parties may have an interest (subject to reasonable limitations concerning time and place), which may include without limitation (subject to the </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payment of reasonable out-of-pocket expenses incurred by Employee and, in the case of extraordinary expenses, only at the Company’s prior and specific request) making Employee available to participate in any proceeding involving any of the Released Parties, allowing Employee to be interviewed by representatives of the Released Parties, participating as requested in interviews and/or meetings with other witnesses, preparing and appearing for depositions and testimony without requiring a subpoena, providing truthful and honest testimony, and producing and/or providing any documents or names of other persons with relevant information, all without claim of privilege against the Released Parties. Nothing in this Agreement prevents Employee from discussing or disclosing information about unlawful acts in the workplace, such as harassment or discrimination or any other conduct that Employee has reason to believe is unlawful.</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17.</w:t>
      </w:r>
      <w:r>
        <w:rPr>
          <w:rFonts w:ascii="Times New Roman;Times;serif" w:hAnsi="Times New Roman;Times;serif"/>
          <w:sz w:val="24"/>
          <w:u w:val="single"/>
        </w:rPr>
        <w:t>References and Company Records</w:t>
      </w:r>
      <w:r>
        <w:rPr>
          <w:rFonts w:ascii="Times New Roman;Times;serif" w:hAnsi="Times New Roman;Times;serif"/>
          <w:sz w:val="24"/>
        </w:rPr>
        <w:t xml:space="preserve">. The Company agrees that in response to a request from any prospective new employer regarding Employee’s separation from the Company, the Company will limit any discussions or comments regarding the separation to communications providing dates of employment and last position held. Employee agrees to direct any inquiries from any prospective employers to the Company’s Human Resources Department.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18.</w:t>
      </w:r>
      <w:r>
        <w:rPr>
          <w:rFonts w:ascii="Times New Roman;Times;serif" w:hAnsi="Times New Roman;Times;serif"/>
          <w:sz w:val="24"/>
          <w:u w:val="single"/>
        </w:rPr>
        <w:t>Choice of Law and Consent to Jurisdiction</w:t>
      </w:r>
      <w:r>
        <w:rPr>
          <w:rFonts w:ascii="Times New Roman;Times;serif" w:hAnsi="Times New Roman;Times;serif"/>
          <w:sz w:val="24"/>
        </w:rPr>
        <w:t>. This Agreement shall be interpreted in accordance with the laws of the State of California, without regard to the application of choice-of-law principles. Employee and the Company hereby irrevocably submit to the jurisdiction of the appropriate state or federal court for disputes arising in the county of San Mateo County, State of California, and waive any objection to venue based on forum non conveniens or otherwise. Employee expressly waives any objection to forum or venue based on conflicts of law principles.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19.</w:t>
      </w:r>
      <w:r>
        <w:rPr>
          <w:rFonts w:ascii="Times New Roman;Times;serif" w:hAnsi="Times New Roman;Times;serif"/>
          <w:sz w:val="24"/>
          <w:u w:val="single"/>
        </w:rPr>
        <w:t>Acknowledgement of Waiver of Claims Under the ADEA and OWBPA</w:t>
      </w:r>
      <w:r>
        <w:rPr>
          <w:rFonts w:ascii="Times New Roman;Times;serif" w:hAnsi="Times New Roman;Times;serif"/>
          <w:sz w:val="24"/>
        </w:rPr>
        <w:t>. Employee understands and acknowledges that Employee is waiving and releasing any rights Employee may have under the Age Discrimination in Employment Act of 1967 (“</w:t>
      </w:r>
      <w:r>
        <w:rPr>
          <w:rFonts w:ascii="Times New Roman;Times;serif" w:hAnsi="Times New Roman;Times;serif"/>
          <w:sz w:val="24"/>
          <w:u w:val="single"/>
        </w:rPr>
        <w:t>ADEA</w:t>
      </w:r>
      <w:r>
        <w:rPr>
          <w:rFonts w:ascii="Times New Roman;Times;serif" w:hAnsi="Times New Roman;Times;serif"/>
          <w:sz w:val="24"/>
        </w:rPr>
        <w:t>”) and the Older Workers Benefit Protection Act (“</w:t>
      </w:r>
      <w:r>
        <w:rPr>
          <w:rFonts w:ascii="Times New Roman;Times;serif" w:hAnsi="Times New Roman;Times;serif"/>
          <w:sz w:val="24"/>
          <w:u w:val="single"/>
        </w:rPr>
        <w:t>OWBPA</w:t>
      </w:r>
      <w:r>
        <w:rPr>
          <w:rFonts w:ascii="Times New Roman;Times;serif" w:hAnsi="Times New Roman;Times;serif"/>
          <w:sz w:val="24"/>
        </w:rPr>
        <w:t>”) and as set forth in this Agreement, and that this waiver and release is knowing and voluntary. Employee understands that: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waiver and release does not apply to any rights or claims that may arise under the ADEA and OWBPA after the Effective Date of this Agreement but does release such rights that may have existed before the Effective Date;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consideration given for this waiver and release is in addition to anything of value to which Employee was already entitled;</w:t>
            </w:r>
          </w:p>
        </w:tc>
      </w:tr>
    </w:tbl>
    <w:tbl>
      <w:tblPr>
        <w:tblW w:w="8088" w:type="dxa"/>
        <w:jc w:val="left"/>
        <w:tblInd w:w="0" w:type="dxa"/>
        <w:tblLayout w:type="fixed"/>
        <w:tblCellMar>
          <w:top w:w="0" w:type="dxa"/>
          <w:left w:w="0" w:type="dxa"/>
          <w:bottom w:w="0" w:type="dxa"/>
          <w:right w:w="0" w:type="dxa"/>
        </w:tblCellMar>
      </w:tblPr>
      <w:tblGrid>
        <w:gridCol w:w="23"/>
        <w:gridCol w:w="185"/>
        <w:gridCol w:w="788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7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Employee is advised to consult with an attorney prior to executing this Agreement; </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9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Employee has up to twenty-one (21) calendar days following the date this Agreement was provided within which to consider this Agreement;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Employee has seven (7) calendar days following Employee’s execution of this Agreement to revoke this Agreement; and</w:t>
            </w:r>
          </w:p>
        </w:tc>
      </w:tr>
    </w:tbl>
    <w:tbl>
      <w:tblPr>
        <w:tblW w:w="8028" w:type="dxa"/>
        <w:jc w:val="left"/>
        <w:tblInd w:w="0" w:type="dxa"/>
        <w:tblLayout w:type="fixed"/>
        <w:tblCellMar>
          <w:top w:w="0" w:type="dxa"/>
          <w:left w:w="0" w:type="dxa"/>
          <w:bottom w:w="0" w:type="dxa"/>
          <w:right w:w="0" w:type="dxa"/>
        </w:tblCellMar>
      </w:tblPr>
      <w:tblGrid>
        <w:gridCol w:w="23"/>
        <w:gridCol w:w="155"/>
        <w:gridCol w:w="78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7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this Agreement shall not be effective until after the Revocation Period has expired; </w:t>
            </w:r>
          </w:p>
        </w:tc>
      </w:tr>
    </w:tbl>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20.</w:t>
      </w:r>
      <w:r>
        <w:rPr>
          <w:rFonts w:ascii="Times New Roman;Times;serif" w:hAnsi="Times New Roman;Times;serif"/>
          <w:sz w:val="24"/>
          <w:u w:val="single"/>
        </w:rPr>
        <w:t>Acknowledgement</w:t>
      </w:r>
      <w:r>
        <w:rPr>
          <w:rFonts w:ascii="Times New Roman;Times;serif" w:hAnsi="Times New Roman;Times;serif"/>
          <w:sz w:val="24"/>
        </w:rPr>
        <w:t xml:space="preserve">. Employee has read and understands this Agreement; and nothing in this Agreement prevents or precludes Employee from challenging or seeking a determination in good faith of the validity of this waiver under the ADEA or OWBPA, nor does it impose any condition precedent, penalties, or costs for doing so, unless specifically authorized by federal law.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21.</w:t>
      </w:r>
      <w:r>
        <w:rPr>
          <w:rFonts w:ascii="Times New Roman;Times;serif" w:hAnsi="Times New Roman;Times;serif"/>
          <w:sz w:val="24"/>
          <w:u w:val="single"/>
        </w:rPr>
        <w:t>Entire Agreement</w:t>
      </w:r>
      <w:r>
        <w:rPr>
          <w:rFonts w:ascii="Times New Roman;Times;serif" w:hAnsi="Times New Roman;Times;serif"/>
          <w:sz w:val="24"/>
        </w:rPr>
        <w:t>. This Agreement contains the entire and only agreement between Employee and the Company pertaining to the subject matter hereof, and any other agreements or understandings and discussions, written or oral, that may have existed between the parties are superseded by this Agreement and are no longer effective except as otherwise expressly stated herein. Employee will, for example, continue to be bound by the obligations as stated in the EPIIA. This Agreement may be amended or modified only by a written amendment signed by the Parties. Employee has acknowledged that, in signing this Agreement, Employee has not relied on any representation, promise, or inducement not contained in writing in this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22.</w:t>
      </w:r>
      <w:r>
        <w:rPr>
          <w:rFonts w:ascii="Times New Roman;Times;serif" w:hAnsi="Times New Roman;Times;serif"/>
          <w:sz w:val="24"/>
          <w:u w:val="single"/>
        </w:rPr>
        <w:t>Unenforceability</w:t>
      </w:r>
      <w:r>
        <w:rPr>
          <w:rFonts w:ascii="Times New Roman;Times;serif" w:hAnsi="Times New Roman;Times;serif"/>
          <w:sz w:val="24"/>
        </w:rPr>
        <w:t>. The invalidity or unenforceability of any particular provision of this Agreement shall not affect the other provisions hereof, and this Agreement shall be construed in all respects as if such invalid or unenforceable provisions were omitted.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23.</w:t>
      </w:r>
      <w:r>
        <w:rPr>
          <w:rFonts w:ascii="Times New Roman;Times;serif" w:hAnsi="Times New Roman;Times;serif"/>
          <w:sz w:val="24"/>
          <w:u w:val="single"/>
        </w:rPr>
        <w:t>Severability</w:t>
      </w:r>
      <w:r>
        <w:rPr>
          <w:rFonts w:ascii="Times New Roman;Times;serif" w:hAnsi="Times New Roman;Times;serif"/>
          <w:sz w:val="24"/>
        </w:rPr>
        <w:t>. In the event any paragraph, section, sentence, provision, or clause of this Agreement, or portion thereof, shall be determined to be illegal, invalid, or unenforceable and cannot be modified to be enforceable, the remainder of this Agreement and the remainder of any such paragraph, section, sentence, provision, or clause shall not be affected and shall be given full effect without regard to the illegal, invalid or unenforceable portion, provided, however, if Paragraph 8 above is held illegal, invalid or unenforceable, the Company shall be released from any obligations under Paragraph 3 above, and Employee shall retain all of Employee’s rights.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24.</w:t>
      </w:r>
      <w:r>
        <w:rPr>
          <w:rFonts w:ascii="Times New Roman;Times;serif" w:hAnsi="Times New Roman;Times;serif"/>
          <w:sz w:val="24"/>
          <w:u w:val="single"/>
        </w:rPr>
        <w:t>Counterparts</w:t>
      </w:r>
      <w:r>
        <w:rPr>
          <w:rFonts w:ascii="Times New Roman;Times;serif" w:hAnsi="Times New Roman;Times;serif"/>
          <w:sz w:val="24"/>
        </w:rPr>
        <w:t>. This Agreement may be signed in counterparts, each of which shall be deemed an original and all of which shall constitute one and the same instrument.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25.</w:t>
      </w:r>
      <w:r>
        <w:rPr>
          <w:rFonts w:ascii="Times New Roman;Times;serif" w:hAnsi="Times New Roman;Times;serif"/>
          <w:sz w:val="24"/>
          <w:u w:val="single"/>
        </w:rPr>
        <w:t>Nature of Agreement</w:t>
      </w:r>
      <w:r>
        <w:rPr>
          <w:rFonts w:ascii="Times New Roman;Times;serif" w:hAnsi="Times New Roman;Times;serif"/>
          <w:sz w:val="24"/>
        </w:rPr>
        <w:t>. Employee understands and agrees that this Agreement is a separation agreement and does not constitute an admission of liability or wrongdoing on the part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25.</w:t>
      </w:r>
      <w:r>
        <w:rPr>
          <w:rFonts w:ascii="Times New Roman;Times;serif" w:hAnsi="Times New Roman;Times;serif"/>
          <w:sz w:val="24"/>
          <w:u w:val="single"/>
        </w:rPr>
        <w:t>Successors and Assigns</w:t>
      </w:r>
      <w:r>
        <w:rPr>
          <w:rFonts w:ascii="Times New Roman;Times;serif" w:hAnsi="Times New Roman;Times;serif"/>
          <w:sz w:val="24"/>
        </w:rPr>
        <w:t>. This Agreement shall be binding upon and inure to the benefit of the Employee, Employee’s heirs, executors and administrators and the Company and its successors and assigns. The Company may assign this Agreement, and this Agreement is enforceable by the Company’s successors assignees affiliates, parents and related companies.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26.</w:t>
      </w:r>
      <w:r>
        <w:rPr>
          <w:rFonts w:ascii="Times New Roman;Times;serif" w:hAnsi="Times New Roman;Times;serif"/>
          <w:sz w:val="24"/>
          <w:u w:val="single"/>
        </w:rPr>
        <w:t>Amendment</w:t>
      </w:r>
      <w:r>
        <w:rPr>
          <w:rFonts w:ascii="Times New Roman;Times;serif" w:hAnsi="Times New Roman;Times;serif"/>
          <w:sz w:val="24"/>
        </w:rPr>
        <w:t xml:space="preserve">. This Agreement may not be modified altered or changed except by a writing signed by both Employee and Company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27.</w:t>
      </w:r>
      <w:r>
        <w:rPr>
          <w:rFonts w:ascii="Times New Roman;Times;serif" w:hAnsi="Times New Roman;Times;serif"/>
          <w:sz w:val="24"/>
          <w:u w:val="single"/>
        </w:rPr>
        <w:t>Authority</w:t>
      </w:r>
      <w:r>
        <w:rPr>
          <w:rFonts w:ascii="Times New Roman;Times;serif" w:hAnsi="Times New Roman;Times;serif"/>
          <w:sz w:val="24"/>
        </w:rPr>
        <w:t>. The person signing this Agreement on behalf of the Company has the authority to bind the Company to all the terms and conditions in this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28. </w:t>
      </w:r>
      <w:r>
        <w:rPr>
          <w:rFonts w:ascii="Times New Roman;Times;serif" w:hAnsi="Times New Roman;Times;serif"/>
          <w:sz w:val="24"/>
          <w:u w:val="single"/>
        </w:rPr>
        <w:t>Right to Testify</w:t>
      </w:r>
      <w:r>
        <w:rPr>
          <w:rFonts w:ascii="Times New Roman;Times;serif" w:hAnsi="Times New Roman;Times;serif"/>
          <w:sz w:val="24"/>
        </w:rPr>
        <w:t xml:space="preserve">. Nothing in this Agreement precludes Employee from testifying in an administrative, legislative, arbitral, or judicial proceeding, including a deposition taken in connection with any of the proceedings, concerning alleged criminal conduct or alleged unlawful employment practices regarding the Company, its agents, or employees, when Employee has been required or requested to do so pursuant to a court order, subpoena, or written request from an administrative agency or the legislature. </w:t>
      </w:r>
    </w:p>
    <w:p>
      <w:pPr>
        <w:pStyle w:val="TextBody"/>
        <w:bidi w:val="0"/>
        <w:spacing w:before="0" w:after="240"/>
        <w:ind w:left="0" w:right="0" w:firstLine="720"/>
        <w:jc w:val="left"/>
        <w:rPr>
          <w:rFonts w:ascii="Times New Roman;Times;serif" w:hAnsi="Times New Roman;Times;serif"/>
          <w:b/>
          <w:sz w:val="24"/>
        </w:rPr>
      </w:pPr>
      <w:r>
        <w:rPr>
          <w:rFonts w:ascii="Times New Roman;Times;serif" w:hAnsi="Times New Roman;Times;serif"/>
          <w:b/>
          <w:sz w:val="24"/>
        </w:rPr>
        <w:t>PLEASE READ CAREFULLY. THIS AGREEMENT CONTAINS A RELEASE OF ALL KNOWN AND UNKNOWN CLAIMS.</w:t>
      </w:r>
      <w:bookmarkStart w:id="1808" w:name="_DV_M37"/>
      <w:bookmarkStart w:id="1809" w:name="_DV_M35"/>
      <w:bookmarkStart w:id="1810" w:name="_DV_M33"/>
      <w:bookmarkEnd w:id="1808"/>
      <w:bookmarkEnd w:id="1809"/>
      <w:bookmarkEnd w:id="1810"/>
    </w:p>
    <w:p>
      <w:pPr>
        <w:pStyle w:val="TextBody"/>
        <w:bidi w:val="0"/>
        <w:spacing w:before="0" w:after="240"/>
        <w:ind w:left="0" w:right="0" w:firstLine="720"/>
        <w:jc w:val="left"/>
        <w:rPr>
          <w:rFonts w:ascii="Times New Roman;Times;serif" w:hAnsi="Times New Roman;Times;serif"/>
          <w:b/>
          <w:sz w:val="24"/>
        </w:rPr>
      </w:pPr>
      <w:r>
        <w:rPr>
          <w:rFonts w:ascii="Times New Roman;Times;serif" w:hAnsi="Times New Roman;Times;serif"/>
          <w:b w:val="false"/>
          <w:sz w:val="24"/>
        </w:rPr>
        <w:t>Employee expressly acknowledges that Employee</w:t>
      </w:r>
      <w:r>
        <w:rPr>
          <w:rFonts w:ascii="Times New Roman;Times;serif" w:hAnsi="Times New Roman;Times;serif"/>
          <w:b/>
          <w:sz w:val="24"/>
        </w:rPr>
        <w:t xml:space="preserve"> </w:t>
      </w:r>
      <w:r>
        <w:rPr>
          <w:rFonts w:ascii="Times New Roman;Times;serif" w:hAnsi="Times New Roman;Times;serif"/>
          <w:b w:val="false"/>
          <w:sz w:val="24"/>
        </w:rPr>
        <w:t>has entered this Agreement knowingly and voluntarily, without any coercion or duress, and that Employee</w:t>
      </w:r>
      <w:r>
        <w:rPr>
          <w:rFonts w:ascii="Times New Roman;Times;serif" w:hAnsi="Times New Roman;Times;serif"/>
          <w:b/>
          <w:sz w:val="24"/>
        </w:rPr>
        <w:t xml:space="preserve"> </w:t>
      </w:r>
      <w:r>
        <w:rPr>
          <w:rFonts w:ascii="Times New Roman;Times;serif" w:hAnsi="Times New Roman;Times;serif"/>
          <w:b w:val="false"/>
          <w:sz w:val="24"/>
        </w:rPr>
        <w:t>has had an adequate opportunity to review the Agreement and to consult an attorney regarding it to the extent that Employee</w:t>
      </w:r>
      <w:r>
        <w:rPr>
          <w:rFonts w:ascii="Times New Roman;Times;serif" w:hAnsi="Times New Roman;Times;serif"/>
          <w:b/>
          <w:sz w:val="24"/>
        </w:rPr>
        <w:t xml:space="preserve"> </w:t>
      </w:r>
      <w:r>
        <w:rPr>
          <w:rFonts w:ascii="Times New Roman;Times;serif" w:hAnsi="Times New Roman;Times;serif"/>
          <w:b w:val="false"/>
          <w:sz w:val="24"/>
        </w:rPr>
        <w:t>wishes to do so, and Employee has had an opportunity to ask questions. Employee understands the contents of this Agreement and agrees to all of its terms and conditions.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pPr>
      <w:r>
        <w:rPr/>
        <w:t>​</w:t>
      </w:r>
    </w:p>
    <w:tbl>
      <w:tblPr>
        <w:tblW w:w="7262" w:type="dxa"/>
        <w:jc w:val="left"/>
        <w:tblInd w:w="0" w:type="dxa"/>
        <w:tblLayout w:type="fixed"/>
        <w:tblCellMar>
          <w:top w:w="0" w:type="dxa"/>
          <w:left w:w="0" w:type="dxa"/>
          <w:bottom w:w="0" w:type="dxa"/>
          <w:right w:w="0" w:type="dxa"/>
        </w:tblCellMar>
      </w:tblPr>
      <w:tblGrid>
        <w:gridCol w:w="1966"/>
        <w:gridCol w:w="5296"/>
      </w:tblGrid>
      <w:tr>
        <w:trPr/>
        <w:tc>
          <w:tcPr>
            <w:tcW w:w="1966" w:type="dxa"/>
            <w:tcBorders/>
            <w:vAlign w:val="center"/>
          </w:tcPr>
          <w:p>
            <w:pPr>
              <w:pStyle w:val="TableContents"/>
              <w:bidi w:val="0"/>
              <w:spacing w:before="0" w:after="240"/>
              <w:ind w:left="0" w:right="0" w:hanging="0"/>
              <w:jc w:val="left"/>
              <w:rPr>
                <w:rFonts w:ascii="Times New Roman;Times;serif" w:hAnsi="Times New Roman;Times;serif"/>
                <w:b w:val="false"/>
                <w:sz w:val="24"/>
              </w:rPr>
            </w:pPr>
            <w:r>
              <w:rPr>
                <w:rFonts w:ascii="Times New Roman;Times;serif" w:hAnsi="Times New Roman;Times;serif"/>
                <w:b w:val="false"/>
                <w:sz w:val="24"/>
              </w:rPr>
              <w:t>Dated: 8 June 2026</w:t>
            </w:r>
          </w:p>
        </w:tc>
        <w:tc>
          <w:tcPr>
            <w:tcW w:w="5296" w:type="dxa"/>
            <w:tcBorders/>
            <w:vAlign w:val="center"/>
          </w:tcPr>
          <w:p>
            <w:pPr>
              <w:pStyle w:val="TableContents"/>
              <w:bidi w:val="0"/>
              <w:spacing w:before="0" w:after="0"/>
              <w:ind w:left="0" w:right="0" w:hanging="0"/>
              <w:jc w:val="both"/>
              <w:rPr>
                <w:rFonts w:ascii="Times New Roman;Times;serif" w:hAnsi="Times New Roman;Times;serif"/>
                <w:b/>
                <w:sz w:val="24"/>
              </w:rPr>
            </w:pPr>
            <w:r>
              <w:rPr>
                <w:rFonts w:ascii="Times New Roman;Times;serif" w:hAnsi="Times New Roman;Times;serif"/>
                <w:b w:val="false"/>
                <w:sz w:val="24"/>
                <w:u w:val="single"/>
              </w:rPr>
              <w:t xml:space="preserve">/s/ Friedrich Graf Finckenstein </w:t>
            </w:r>
            <w:r>
              <w:rPr>
                <w:rFonts w:ascii="Times New Roman;Times;serif" w:hAnsi="Times New Roman;Times;serif"/>
                <w:b/>
                <w:sz w:val="24"/>
                <w:u w:val="single"/>
              </w:rPr>
              <w:t>​ ​</w:t>
            </w:r>
          </w:p>
          <w:p>
            <w:pPr>
              <w:pStyle w:val="TableContents"/>
              <w:bidi w:val="0"/>
              <w:spacing w:before="0" w:after="240"/>
              <w:ind w:left="0" w:right="0" w:hanging="0"/>
              <w:jc w:val="left"/>
              <w:rPr>
                <w:rFonts w:ascii="Times New Roman;Times;serif" w:hAnsi="Times New Roman;Times;serif"/>
                <w:b w:val="false"/>
                <w:sz w:val="24"/>
              </w:rPr>
            </w:pPr>
            <w:r>
              <w:rPr>
                <w:rFonts w:ascii="Times New Roman;Times;serif" w:hAnsi="Times New Roman;Times;serif"/>
                <w:b w:val="false"/>
                <w:sz w:val="24"/>
              </w:rPr>
              <w:t>Fredrich-Reinhard Graf Finck von Finckenstein, M.D.</w:t>
            </w:r>
          </w:p>
          <w:p>
            <w:pPr>
              <w:pStyle w:val="TableContents"/>
              <w:bidi w:val="0"/>
              <w:spacing w:before="0" w:after="240"/>
              <w:ind w:left="0" w:right="0" w:firstLine="720"/>
              <w:jc w:val="left"/>
              <w:rPr/>
            </w:pPr>
            <w:r>
              <w:rPr/>
              <w:t>​</w:t>
            </w:r>
          </w:p>
          <w:p>
            <w:pPr>
              <w:pStyle w:val="TableContents"/>
              <w:bidi w:val="0"/>
              <w:spacing w:before="0" w:after="240"/>
              <w:ind w:left="0" w:right="0" w:firstLine="720"/>
              <w:jc w:val="left"/>
              <w:rPr/>
            </w:pPr>
            <w:r>
              <w:rPr/>
              <w:t>​</w:t>
            </w:r>
          </w:p>
          <w:p>
            <w:pPr>
              <w:pStyle w:val="TableContents"/>
              <w:bidi w:val="0"/>
              <w:spacing w:before="0" w:after="240"/>
              <w:ind w:left="0" w:right="0" w:firstLine="11"/>
              <w:jc w:val="left"/>
              <w:rPr>
                <w:rFonts w:ascii="Times New Roman;Times;serif" w:hAnsi="Times New Roman;Times;serif"/>
                <w:b w:val="false"/>
                <w:sz w:val="24"/>
              </w:rPr>
            </w:pPr>
            <w:r>
              <w:rPr>
                <w:rFonts w:ascii="Times New Roman;Times;serif" w:hAnsi="Times New Roman;Times;serif"/>
                <w:b w:val="false"/>
                <w:sz w:val="24"/>
              </w:rPr>
              <w:t>Iovance Biotherapeutics, Inc.</w:t>
            </w:r>
          </w:p>
          <w:p>
            <w:pPr>
              <w:pStyle w:val="TableContents"/>
              <w:bidi w:val="0"/>
              <w:spacing w:before="0" w:after="240"/>
              <w:ind w:left="0" w:right="0" w:hanging="0"/>
              <w:jc w:val="left"/>
              <w:rPr/>
            </w:pPr>
            <w:r>
              <w:rPr/>
              <w:t>​</w:t>
            </w:r>
          </w:p>
        </w:tc>
      </w:tr>
      <w:tr>
        <w:trPr/>
        <w:tc>
          <w:tcPr>
            <w:tcW w:w="1966" w:type="dxa"/>
            <w:tcBorders/>
            <w:vAlign w:val="center"/>
          </w:tcPr>
          <w:p>
            <w:pPr>
              <w:pStyle w:val="TableContents"/>
              <w:bidi w:val="0"/>
              <w:spacing w:before="0" w:after="240"/>
              <w:ind w:left="0" w:right="0" w:hanging="0"/>
              <w:jc w:val="left"/>
              <w:rPr>
                <w:rFonts w:ascii="Times New Roman;Times;serif" w:hAnsi="Times New Roman;Times;serif"/>
                <w:b/>
                <w:sz w:val="24"/>
              </w:rPr>
            </w:pPr>
            <w:r>
              <w:rPr>
                <w:rFonts w:ascii="Times New Roman;Times;serif" w:hAnsi="Times New Roman;Times;serif"/>
                <w:b w:val="false"/>
                <w:i w:val="false"/>
                <w:caps w:val="false"/>
                <w:smallCaps w:val="false"/>
                <w:sz w:val="24"/>
              </w:rPr>
              <w:t>Dated:</w:t>
            </w:r>
            <w:r>
              <w:rPr>
                <w:rFonts w:ascii="Times New Roman;Times;serif" w:hAnsi="Times New Roman;Times;serif"/>
                <w:b w:val="false"/>
                <w:sz w:val="24"/>
              </w:rPr>
              <w:t>8 June 2026</w:t>
            </w:r>
          </w:p>
        </w:tc>
        <w:tc>
          <w:tcPr>
            <w:tcW w:w="529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val="false"/>
                <w:i w:val="false"/>
                <w:caps w:val="false"/>
                <w:smallCaps w:val="false"/>
                <w:sz w:val="24"/>
              </w:rPr>
              <w:t xml:space="preserve">By: </w:t>
            </w:r>
            <w:r>
              <w:rPr>
                <w:rFonts w:ascii="Times New Roman;Times;serif" w:hAnsi="Times New Roman;Times;serif"/>
                <w:b w:val="false"/>
                <w:sz w:val="24"/>
                <w:u w:val="single"/>
              </w:rPr>
              <w:t>/s/ Tracy Winton</w:t>
            </w:r>
          </w:p>
          <w:p>
            <w:pPr>
              <w:pStyle w:val="TableContents"/>
              <w:bidi w:val="0"/>
              <w:spacing w:before="0" w:after="240"/>
              <w:ind w:left="0" w:right="0" w:firstLine="11"/>
              <w:jc w:val="left"/>
              <w:rPr>
                <w:rFonts w:ascii="Times New Roman;Times;serif" w:hAnsi="Times New Roman;Times;serif"/>
                <w:b w:val="false"/>
                <w:sz w:val="24"/>
              </w:rPr>
            </w:pPr>
            <w:r>
              <w:rPr>
                <w:rFonts w:ascii="Times New Roman;Times;serif" w:hAnsi="Times New Roman;Times;serif"/>
                <w:b w:val="false"/>
                <w:sz w:val="24"/>
              </w:rPr>
              <w:t>Tracy Winton</w:t>
            </w:r>
          </w:p>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val="false"/>
                <w:i w:val="false"/>
                <w:caps w:val="false"/>
                <w:smallCaps w:val="false"/>
                <w:sz w:val="24"/>
              </w:rPr>
              <w:t>Title:</w:t>
            </w:r>
            <w:r>
              <w:rPr>
                <w:rFonts w:ascii="Times New Roman;Times;serif" w:hAnsi="Times New Roman;Times;serif"/>
                <w:b w:val="false"/>
                <w:sz w:val="24"/>
              </w:rPr>
              <w:t>Executive Vice President,</w:t>
            </w:r>
          </w:p>
          <w:p>
            <w:pPr>
              <w:pStyle w:val="TableContents"/>
              <w:bidi w:val="0"/>
              <w:spacing w:before="0" w:after="0"/>
              <w:ind w:left="0" w:right="0" w:firstLine="731"/>
              <w:jc w:val="left"/>
              <w:rPr>
                <w:rFonts w:ascii="Times New Roman;Times;serif" w:hAnsi="Times New Roman;Times;serif"/>
                <w:b w:val="false"/>
                <w:sz w:val="24"/>
              </w:rPr>
            </w:pPr>
            <w:r>
              <w:rPr>
                <w:rFonts w:ascii="Times New Roman;Times;serif" w:hAnsi="Times New Roman;Times;serif"/>
                <w:b w:val="false"/>
                <w:sz w:val="24"/>
              </w:rPr>
              <w:t>Human Resources</w:t>
            </w:r>
          </w:p>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p>
            <w:pPr>
              <w:pStyle w:val="TableContents"/>
              <w:bidi w:val="0"/>
              <w:spacing w:before="0" w:after="240"/>
              <w:ind w:left="0" w:right="0" w:hanging="0"/>
              <w:jc w:val="left"/>
              <w:rPr/>
            </w:pPr>
            <w:r>
              <w:rPr/>
              <w:t>​</w:t>
            </w:r>
          </w:p>
        </w:tc>
      </w:tr>
      <w:tr>
        <w:trPr/>
        <w:tc>
          <w:tcPr>
            <w:tcW w:w="1966" w:type="dxa"/>
            <w:tcBorders/>
            <w:vAlign w:val="center"/>
          </w:tcPr>
          <w:p>
            <w:pPr>
              <w:pStyle w:val="TableContents"/>
              <w:bidi w:val="0"/>
              <w:spacing w:before="0" w:after="240"/>
              <w:ind w:left="0" w:right="0" w:hanging="0"/>
              <w:jc w:val="left"/>
              <w:rPr/>
            </w:pPr>
            <w:r>
              <w:rPr/>
              <w:t>​</w:t>
            </w:r>
          </w:p>
        </w:tc>
        <w:tc>
          <w:tcPr>
            <w:tcW w:w="5296" w:type="dxa"/>
            <w:tcBorders/>
            <w:vAlign w:val="center"/>
          </w:tcPr>
          <w:p>
            <w:pPr>
              <w:pStyle w:val="TableContents"/>
              <w:bidi w:val="0"/>
              <w:spacing w:before="0" w:after="240"/>
              <w:ind w:left="0" w:right="0" w:firstLine="72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Graf Finck von Finckenstein, Friedrich-Reinhard, M.D.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Closing Stock Statement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EXHIBIT 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Employee Proprietary Information and Invention Assignment Agreement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bookmarkStart w:id="1811" w:name="iova-20260630xex10d2.htm"/>
      <w:bookmarkStart w:id="1812" w:name="ksiova20260630xex10d2"/>
      <w:bookmarkEnd w:id="1811"/>
      <w:bookmarkEnd w:id="1812"/>
      <w:r>
        <w:rPr/>
        <w:t>​</w:t>
      </w:r>
      <w:r>
        <w:br w:type="page"/>
      </w:r>
    </w:p>
    <w:p>
      <w:pPr>
        <w:pStyle w:val="TextBody"/>
        <w:bidi w:val="0"/>
        <w:spacing w:before="0" w:after="240"/>
        <w:ind w:left="0" w:right="0" w:hanging="0"/>
        <w:jc w:val="right"/>
        <w:rPr>
          <w:rFonts w:ascii="Times New Roman;Times;serif" w:hAnsi="Times New Roman;Times;serif"/>
          <w:b/>
          <w:sz w:val="24"/>
        </w:rPr>
      </w:pPr>
      <w:r>
        <w:rPr>
          <w:rFonts w:ascii="Times New Roman;Times;serif" w:hAnsi="Times New Roman;Times;serif"/>
          <w:b/>
          <w:sz w:val="24"/>
        </w:rPr>
        <w:t>Exhibit 10.2</w:t>
      </w:r>
    </w:p>
    <w:p>
      <w:pPr>
        <w:pStyle w:val="TextBody"/>
        <w:bidi w:val="0"/>
        <w:spacing w:before="0" w:after="240"/>
        <w:ind w:left="0" w:right="0" w:hanging="0"/>
        <w:jc w:val="left"/>
        <w:rPr>
          <w:rFonts w:ascii="Times New Roman;Times;serif" w:hAnsi="Times New Roman;Times;serif"/>
          <w:i/>
          <w:sz w:val="24"/>
        </w:rPr>
      </w:pPr>
      <w:r>
        <w:rPr>
          <w:rFonts w:ascii="Times New Roman;Times;serif" w:hAnsi="Times New Roman;Times;serif"/>
          <w:i/>
          <w:sz w:val="24"/>
        </w:rPr>
        <w:t>Portions of this Exhibit have been redacted because they are both (i) not material and (ii) would be competitively harmful if publicly disclosed or constitutes personal information. Information that was omitted has been noted in this document with a placeholder identified by the mark “[***]”.</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CONSULTING AGREEMENT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Effective Date: June 9, 2026</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CONSULTING AGREEMENT (this “</w:t>
      </w:r>
      <w:r>
        <w:rPr>
          <w:rFonts w:ascii="Times New Roman;Times;serif" w:hAnsi="Times New Roman;Times;serif"/>
          <w:sz w:val="24"/>
          <w:u w:val="single"/>
        </w:rPr>
        <w:t>Agreement</w:t>
      </w:r>
      <w:r>
        <w:rPr>
          <w:rFonts w:ascii="Times New Roman;Times;serif" w:hAnsi="Times New Roman;Times;serif"/>
          <w:sz w:val="24"/>
        </w:rPr>
        <w:t>”) is entered into by and between Iovance Biotherapeutics, Inc., a Delaware corporation</w:t>
      </w:r>
      <w:r>
        <w:rPr>
          <w:rFonts w:ascii="Times New Roman;Times;serif" w:hAnsi="Times New Roman;Times;serif"/>
          <w:spacing w:val="-3"/>
          <w:sz w:val="24"/>
        </w:rPr>
        <w:t xml:space="preserve"> </w:t>
      </w:r>
      <w:r>
        <w:rPr>
          <w:rFonts w:ascii="Times New Roman;Times;serif" w:hAnsi="Times New Roman;Times;serif"/>
          <w:sz w:val="24"/>
        </w:rPr>
        <w:t>(“</w:t>
      </w:r>
      <w:r>
        <w:rPr>
          <w:rFonts w:ascii="Times New Roman;Times;serif" w:hAnsi="Times New Roman;Times;serif"/>
          <w:sz w:val="24"/>
          <w:u w:val="single"/>
        </w:rPr>
        <w:t>Iovance</w:t>
      </w:r>
      <w:r>
        <w:rPr>
          <w:rFonts w:ascii="Times New Roman;Times;serif" w:hAnsi="Times New Roman;Times;serif"/>
          <w:sz w:val="24"/>
        </w:rPr>
        <w:t>”), and Friedrich-Reinhard Graf Finck von Finckenstein, M.D., an individual, with a primary address at 19 Dover Court, San Carlos, CA 94070 (“</w:t>
      </w:r>
      <w:r>
        <w:rPr>
          <w:rFonts w:ascii="Times New Roman;Times;serif" w:hAnsi="Times New Roman;Times;serif"/>
          <w:sz w:val="24"/>
          <w:u w:val="single"/>
        </w:rPr>
        <w:t>Consultant</w:t>
      </w:r>
      <w:r>
        <w:rPr>
          <w:rFonts w:ascii="Times New Roman;Times;serif" w:hAnsi="Times New Roman;Times;serif"/>
          <w:sz w:val="24"/>
        </w:rPr>
        <w:t>”), as of the date set forth above (the “</w:t>
      </w:r>
      <w:r>
        <w:rPr>
          <w:rFonts w:ascii="Times New Roman;Times;serif" w:hAnsi="Times New Roman;Times;serif"/>
          <w:sz w:val="24"/>
          <w:u w:val="single"/>
        </w:rPr>
        <w:t>Effective Date</w:t>
      </w:r>
      <w:r>
        <w:rPr>
          <w:rFonts w:ascii="Times New Roman;Times;serif" w:hAnsi="Times New Roman;Times;serif"/>
          <w:sz w:val="24"/>
        </w:rPr>
        <w:t>”).  Iovance and Consultant may each be referred to as a “</w:t>
      </w:r>
      <w:r>
        <w:rPr>
          <w:rFonts w:ascii="Times New Roman;Times;serif" w:hAnsi="Times New Roman;Times;serif"/>
          <w:sz w:val="24"/>
          <w:u w:val="single"/>
        </w:rPr>
        <w:t>Party</w:t>
      </w:r>
      <w:r>
        <w:rPr>
          <w:rFonts w:ascii="Times New Roman;Times;serif" w:hAnsi="Times New Roman;Times;serif"/>
          <w:sz w:val="24"/>
        </w:rPr>
        <w:t>” or together, the “</w:t>
      </w:r>
      <w:r>
        <w:rPr>
          <w:rFonts w:ascii="Times New Roman;Times;serif" w:hAnsi="Times New Roman;Times;serif"/>
          <w:sz w:val="24"/>
          <w:u w:val="single"/>
        </w:rPr>
        <w:t>Parties</w:t>
      </w:r>
      <w:r>
        <w:rPr>
          <w:rFonts w:ascii="Times New Roman;Times;serif" w:hAnsi="Times New Roman;Times;serif"/>
          <w:sz w:val="24"/>
        </w:rPr>
        <w: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Iovance employed Consultant as Chief Medical Officer through June 8, 2026;</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the Parties executed a Separation Agreement and General Release (“</w:t>
      </w:r>
      <w:r>
        <w:rPr>
          <w:rFonts w:ascii="Times New Roman;Times;serif" w:hAnsi="Times New Roman;Times;serif"/>
          <w:sz w:val="24"/>
          <w:u w:val="single"/>
        </w:rPr>
        <w:t>Separation Agreement</w:t>
      </w:r>
      <w:r>
        <w:rPr>
          <w:rFonts w:ascii="Times New Roman;Times;serif" w:hAnsi="Times New Roman;Times;serif"/>
          <w:sz w:val="24"/>
        </w:rPr>
        <w:t>”) on June 8, 2026;</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WHEREAS, </w:t>
      </w:r>
      <w:r>
        <w:rPr>
          <w:rFonts w:ascii="Times New Roman;Times;serif" w:hAnsi="Times New Roman;Times;serif"/>
          <w:sz w:val="24"/>
        </w:rPr>
        <w:t>Consultant has accepted and not timely revoked the Separation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Iovance may require assistance from time to time with regard to matters involving the clinical science and other clinical development related departments;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WHEREAS</w:t>
      </w:r>
      <w:r>
        <w:rPr>
          <w:rFonts w:ascii="Times New Roman;Times;serif" w:hAnsi="Times New Roman;Times;serif"/>
          <w:sz w:val="24"/>
        </w:rPr>
        <w:t xml:space="preserve">, Consultant is willing to provide services on a limited basis to Iovance without any break in time between the period of employment and the date when Consultant will commence to provide consulting services;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NOW, THEREFORE</w:t>
      </w:r>
      <w:r>
        <w:rPr>
          <w:rFonts w:ascii="Times New Roman;Times;serif" w:hAnsi="Times New Roman;Times;serif"/>
          <w:sz w:val="24"/>
        </w:rPr>
        <w:t>, in consideration of the mutual covenants contained herein, the receipt and sufficiency of which are hereby acknowledged, Iovance and Consultant hereby agree to be legally bound as follows:</w:t>
      </w:r>
    </w:p>
    <w:tbl>
      <w:tblPr>
        <w:tblW w:w="1105" w:type="dxa"/>
        <w:jc w:val="left"/>
        <w:tblInd w:w="0" w:type="dxa"/>
        <w:tblLayout w:type="fixed"/>
        <w:tblCellMar>
          <w:top w:w="0" w:type="dxa"/>
          <w:left w:w="0" w:type="dxa"/>
          <w:bottom w:w="0" w:type="dxa"/>
          <w:right w:w="0" w:type="dxa"/>
        </w:tblCellMar>
      </w:tblPr>
      <w:tblGrid>
        <w:gridCol w:w="200"/>
        <w:gridCol w:w="90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90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Services</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Services</w:t>
      </w:r>
      <w:r>
        <w:rPr>
          <w:rFonts w:ascii="Times New Roman;Times;serif" w:hAnsi="Times New Roman;Times;serif"/>
          <w:sz w:val="24"/>
        </w:rPr>
        <w:t xml:space="preserve">.  During the Term, Consultant shall perform for Iovance the consulting services described in </w:t>
      </w:r>
      <w:r>
        <w:rPr>
          <w:rFonts w:ascii="Times New Roman;Times;serif" w:hAnsi="Times New Roman;Times;serif"/>
          <w:sz w:val="24"/>
          <w:u w:val="single"/>
        </w:rPr>
        <w:t>Schedule 1</w:t>
      </w:r>
      <w:r>
        <w:rPr>
          <w:rFonts w:ascii="Times New Roman;Times;serif" w:hAnsi="Times New Roman;Times;serif"/>
          <w:sz w:val="24"/>
        </w:rPr>
        <w:t xml:space="preserve"> (the “</w:t>
      </w:r>
      <w:r>
        <w:rPr>
          <w:rFonts w:ascii="Times New Roman;Times;serif" w:hAnsi="Times New Roman;Times;serif"/>
          <w:sz w:val="24"/>
          <w:u w:val="single"/>
        </w:rPr>
        <w:t>Services</w:t>
      </w:r>
      <w:r>
        <w:rPr>
          <w:rFonts w:ascii="Times New Roman;Times;serif" w:hAnsi="Times New Roman;Times;serif"/>
          <w:sz w:val="24"/>
        </w:rPr>
        <w:t>”).  Consultant shall perform Services only in response to specific requests from Iovance.</w:t>
      </w:r>
    </w:p>
    <w:tbl>
      <w:tblPr>
        <w:tblW w:w="1750" w:type="dxa"/>
        <w:jc w:val="left"/>
        <w:tblInd w:w="0" w:type="dxa"/>
        <w:tblLayout w:type="fixed"/>
        <w:tblCellMar>
          <w:top w:w="0" w:type="dxa"/>
          <w:left w:w="0" w:type="dxa"/>
          <w:bottom w:w="0" w:type="dxa"/>
          <w:right w:w="0" w:type="dxa"/>
        </w:tblCellMar>
      </w:tblPr>
      <w:tblGrid>
        <w:gridCol w:w="200"/>
        <w:gridCol w:w="1550"/>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155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Compensation</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2.1</w:t>
      </w:r>
      <w:r>
        <w:rPr>
          <w:rFonts w:ascii="Times New Roman;Times;serif" w:hAnsi="Times New Roman;Times;serif"/>
          <w:sz w:val="24"/>
          <w:u w:val="single"/>
        </w:rPr>
        <w:t>Fees for Services</w:t>
      </w:r>
      <w:r>
        <w:rPr>
          <w:rFonts w:ascii="Times New Roman;Times;serif" w:hAnsi="Times New Roman;Times;serif"/>
          <w:sz w:val="24"/>
        </w:rPr>
        <w:t>.  In connection with the Services, Iovance shall pay Consultant an hourly rate of $300.00 for hours spent by Consultant at Iovance’s request.  All sums shall be reported on an IRS Form 1099 and Consultant shall provide an IRS Form W-9 prior to performing any Services.  Weekly billing shall not exceed $6,000.00 absent prior written consent from the CEO.  The invoice for Services shall be submitted and paid in accordance with Section 2.4.  </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2.2</w:t>
      </w:r>
      <w:bookmarkStart w:id="1813" w:name="_Hlk136433878"/>
      <w:bookmarkEnd w:id="1813"/>
      <w:r>
        <w:rPr>
          <w:rFonts w:ascii="Times New Roman;Times;serif" w:hAnsi="Times New Roman;Times;serif"/>
          <w:sz w:val="24"/>
          <w:u w:val="single"/>
        </w:rPr>
        <w:t>Benefits.</w:t>
      </w:r>
      <w:r>
        <w:rPr>
          <w:rFonts w:ascii="Times New Roman;Times;serif" w:hAnsi="Times New Roman;Times;serif"/>
          <w:sz w:val="24"/>
        </w:rPr>
        <w:t xml:space="preserve">  Consultant is not an employee of Iovance and will not be entitled to participate in or receive any benefit or right as a Iovance employee under any Iovance employee benefit and welfare plan, including employee insurance, pension, savings, and security plans as a result of Consultant’s entering into this Agreement.  However, subject to the terms and conditions of the applicable Iovance Equity Incentive Plan, as amended (the “</w:t>
      </w:r>
      <w:r>
        <w:rPr>
          <w:rFonts w:ascii="Times New Roman;Times;serif" w:hAnsi="Times New Roman;Times;serif"/>
          <w:sz w:val="24"/>
          <w:u w:val="single"/>
        </w:rPr>
        <w:t>Equity Plan</w:t>
      </w:r>
      <w:r>
        <w:rPr>
          <w:rFonts w:ascii="Times New Roman;Times;serif" w:hAnsi="Times New Roman;Times;serif"/>
          <w:sz w:val="24"/>
        </w:rPr>
        <w:t>”) and applicable award agreement(s) thereunder, and provided that (i) this Consulting Agreement is executed on the Separation Date, and (ii) Consultant does not revoke the Separation Agreement, for purposes of any Iovance stock options held by Consultant that are vested as of Consultant’s final day of employment with Iovance (the “</w:t>
      </w:r>
      <w:r>
        <w:rPr>
          <w:rFonts w:ascii="Times New Roman;Times;serif" w:hAnsi="Times New Roman;Times;serif"/>
          <w:sz w:val="24"/>
          <w:u w:val="single"/>
        </w:rPr>
        <w:t>Vested Stock Options</w:t>
      </w:r>
      <w:r>
        <w:rPr>
          <w:rFonts w:ascii="Times New Roman;Times;serif" w:hAnsi="Times New Roman;Times;serif"/>
          <w:sz w:val="24"/>
        </w:rPr>
        <w:t>”), the post-termination period to exercise the Vested Stock Options (the “</w:t>
      </w:r>
      <w:r>
        <w:rPr>
          <w:rFonts w:ascii="Times New Roman;Times;serif" w:hAnsi="Times New Roman;Times;serif"/>
          <w:sz w:val="24"/>
          <w:u w:val="single"/>
        </w:rPr>
        <w:t>Exercise Period</w:t>
      </w:r>
      <w:r>
        <w:rPr>
          <w:rFonts w:ascii="Times New Roman;Times;serif" w:hAnsi="Times New Roman;Times;serif"/>
          <w:sz w:val="24"/>
        </w:rPr>
        <w:t>”) shall not commence until the end of the Term of this Consulting Agreement; provided, however, that if this Consulting Agreement is not executed on the Separation Date, the applicable Exercise Period shall be determined in accordance with the Equity Plan and applicable award agreement(s)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2.3</w:t>
      </w:r>
      <w:r>
        <w:rPr>
          <w:rFonts w:ascii="Times New Roman;Times;serif" w:hAnsi="Times New Roman;Times;serif"/>
          <w:sz w:val="24"/>
          <w:u w:val="single"/>
        </w:rPr>
        <w:t>Expenses</w:t>
      </w:r>
      <w:r>
        <w:rPr>
          <w:rFonts w:ascii="Times New Roman;Times;serif" w:hAnsi="Times New Roman;Times;serif"/>
          <w:sz w:val="24"/>
        </w:rPr>
        <w:t>.  Iovance shall reimburse Consultant for all pre-approved, reasonable expenses incurred by Consultant in connection with the performance of the Services, including travel expenses, if any.  Consultant shall invoice Iovance for such expenses, which invoice shall include reasonable supporting documentation (such as copies of receipts) verifying such expenses, in accordance with Section 2.4.</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2.4</w:t>
      </w:r>
      <w:r>
        <w:rPr>
          <w:rFonts w:ascii="Times New Roman;Times;serif" w:hAnsi="Times New Roman;Times;serif"/>
          <w:sz w:val="24"/>
          <w:u w:val="single"/>
        </w:rPr>
        <w:t>Invoicing and Payment</w:t>
      </w:r>
      <w:r>
        <w:rPr>
          <w:rFonts w:ascii="Times New Roman;Times;serif" w:hAnsi="Times New Roman;Times;serif"/>
          <w:sz w:val="24"/>
        </w:rPr>
        <w:t>.  Consultant shall use reasonable efforts to consolidate invoices deliverable pursuant to this Section 2 into no more than one (1) invoice per month.  Such invoice shall be itemized, including the date of the Service, the Services provided, and the date of such Services in reasonable detail.  All invoices shall be delivered by electronic mail to ap@iovance.com and Consultant shall include any reference number provided by Iovance on such invoices.  Iovance shall pay all undisputed invoices (or portions thereof) within sixty (60) calendar days of receipt of invoice.  Iovance shall pay all disputed amounts within ten (10) business days following resolution of such dispute by the Parties.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2.5</w:t>
      </w:r>
      <w:r>
        <w:rPr>
          <w:rFonts w:ascii="Times New Roman;Times;serif" w:hAnsi="Times New Roman;Times;serif"/>
          <w:sz w:val="24"/>
          <w:u w:val="single"/>
        </w:rPr>
        <w:t>Taxes and Withholdings</w:t>
      </w:r>
      <w:r>
        <w:rPr>
          <w:rFonts w:ascii="Times New Roman;Times;serif" w:hAnsi="Times New Roman;Times;serif"/>
          <w:sz w:val="24"/>
        </w:rPr>
        <w:t>.  All taxes relating to Consultant’s performance under this Agreement shall be the responsibility of Consultant and Iovance will issue an IRS Form 1099 in connection with payments for Services.  In particular, Consultant shall be solely responsible for the payment of all federal, state and local taxes or contributions imposed or required under unemployment insurance, social security and income tax laws that pertain to the compensation paid or reimbursements provided to Consultant. Consultant shall indemnify Iovance for any costs, expenses, penalties or damages resulting from the tax treatment of payment made under this Agreement.</w:t>
      </w:r>
    </w:p>
    <w:tbl>
      <w:tblPr>
        <w:tblW w:w="2485" w:type="dxa"/>
        <w:jc w:val="left"/>
        <w:tblInd w:w="0" w:type="dxa"/>
        <w:tblLayout w:type="fixed"/>
        <w:tblCellMar>
          <w:top w:w="0" w:type="dxa"/>
          <w:left w:w="0" w:type="dxa"/>
          <w:bottom w:w="0" w:type="dxa"/>
          <w:right w:w="0" w:type="dxa"/>
        </w:tblCellMar>
      </w:tblPr>
      <w:tblGrid>
        <w:gridCol w:w="200"/>
        <w:gridCol w:w="228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228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Duties of Consultant</w:t>
            </w:r>
            <w:r>
              <w:rPr>
                <w:rFonts w:ascii="Times New Roman;Times;serif" w:hAnsi="Times New Roman;Times;serif"/>
                <w:b w:val="false"/>
                <w:i w:val="false"/>
                <w:caps w:val="false"/>
                <w:smallCaps w:val="false"/>
                <w:sz w:val="24"/>
              </w:rPr>
              <w:t>.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w:t>
      </w:r>
      <w:r>
        <w:rPr>
          <w:rFonts w:ascii="Times New Roman;Times;serif" w:hAnsi="Times New Roman;Times;serif"/>
          <w:sz w:val="24"/>
          <w:u w:val="single"/>
        </w:rPr>
        <w:t>Availability; Communication, Reports and Performance</w:t>
      </w:r>
      <w:r>
        <w:rPr>
          <w:rFonts w:ascii="Times New Roman;Times;serif" w:hAnsi="Times New Roman;Times;serif"/>
          <w:sz w:val="24"/>
        </w:rPr>
        <w:t>.  Consultant shall perform requested Services remotely but shall be available to Iovance at its offices or such other places as the Parties may agree, at such times as the Parties may agree, and shall be available for telephone consultations as requested by Iovance.  Consultant shall not be entitled to subcontract any obligations hereunder without Iovance’s prior written approval.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w:t>
      </w:r>
      <w:r>
        <w:rPr>
          <w:rFonts w:ascii="Times New Roman;Times;serif" w:hAnsi="Times New Roman;Times;serif"/>
          <w:sz w:val="24"/>
          <w:u w:val="single"/>
        </w:rPr>
        <w:t>Efforts of Consultant</w:t>
      </w:r>
      <w:r>
        <w:rPr>
          <w:rFonts w:ascii="Times New Roman;Times;serif" w:hAnsi="Times New Roman;Times;serif"/>
          <w:sz w:val="24"/>
        </w:rPr>
        <w:t xml:space="preserve">.  Consultant shall perform Services conscientiously and in a professional and timely manner and devote Consultant’s commercially reasonable efforts and abilities thereto.    Consultant will comply with the anti-discrimination and anti-harassment policies of Iovance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2</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 all times.  In addition, Consultant shall follow generally accepted professional standards of care and all applicable federal, national, state, and local laws, rules and regulations of each country where Services shall be provided.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3.3</w:t>
      </w:r>
      <w:r>
        <w:rPr>
          <w:rFonts w:ascii="Times New Roman;Times;serif" w:hAnsi="Times New Roman;Times;serif"/>
          <w:sz w:val="24"/>
          <w:u w:val="single"/>
        </w:rPr>
        <w:t>Independent Contractor</w:t>
      </w:r>
      <w:r>
        <w:rPr>
          <w:rFonts w:ascii="Times New Roman;Times;serif" w:hAnsi="Times New Roman;Times;serif"/>
          <w:sz w:val="24"/>
        </w:rPr>
        <w:t>.  Consultant understands and agrees that Consultant is acting solely as an independent contractor of Iovance in performing any of the Services and as such agrees that, at all times, Consultant is not an employee of Iovance.  This Agreement shall not be construed as authority for Consultant to act as Iovance’s agent or in any similar capacity, or to make commitments of any kind for the account of or on behalf of Iovance, and Consultant shall not take any action suggesting otherwise, and Consultant shall indemnify and hold harmless Iovance from all liabilities arising from any allegation or determination to the contrary.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3.4</w:t>
      </w:r>
      <w:r>
        <w:rPr>
          <w:rFonts w:ascii="Times New Roman;Times;serif" w:hAnsi="Times New Roman;Times;serif"/>
          <w:sz w:val="24"/>
          <w:u w:val="single"/>
        </w:rPr>
        <w:t>Social Security Number</w:t>
      </w:r>
      <w:r>
        <w:rPr>
          <w:rFonts w:ascii="Times New Roman;Times;serif" w:hAnsi="Times New Roman;Times;serif"/>
          <w:sz w:val="24"/>
        </w:rPr>
        <w:t>.  Consultant certifies that he will supply his correct Social Security Number to Iovance.  Consultant acknowledges that Iovance will rely upon the foregoing certification in filing certain documents and instruments required by law in connection with this Agreement, including Form 1099 under the Internal Revenue Code of 1986, as amended (or any successor form).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3.5</w:t>
      </w:r>
      <w:r>
        <w:rPr>
          <w:rFonts w:ascii="Times New Roman;Times;serif" w:hAnsi="Times New Roman;Times;serif"/>
          <w:sz w:val="24"/>
          <w:u w:val="single"/>
        </w:rPr>
        <w:t>Consultant Eligibility</w:t>
      </w:r>
      <w:r>
        <w:rPr>
          <w:rFonts w:ascii="Times New Roman;Times;serif" w:hAnsi="Times New Roman;Times;serif"/>
          <w:sz w:val="24"/>
        </w:rPr>
        <w:t>.  Consultant hereby represents, warrants, and covenants 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(a)Consultant is not an Ineligible Person (as defined below);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(b)Consultant reviews on reasonable intervals all available public filings to confirm that it is not an Ineligible Person;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(c)Consultant shall immediately notify Iovance in the event Consultant learns of a proposed action by a governmental entity which could result in Consultant becoming an Ineligible Person;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(d)Consultant shall immediately cease work pursuant to this Agreement upon discovering that Consultant has become an Ineligible 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For purposes of this Agreement</w:t>
      </w:r>
      <w:r>
        <w:rPr>
          <w:rFonts w:ascii="Arial;Helvetica;sans-serif" w:hAnsi="Arial;Helvetica;sans-serif"/>
          <w:sz w:val="20"/>
        </w:rPr>
        <w:t xml:space="preserve">, </w:t>
      </w:r>
      <w:r>
        <w:rPr>
          <w:rFonts w:ascii="Times New Roman;Times;serif" w:hAnsi="Times New Roman;Times;serif"/>
          <w:sz w:val="20"/>
        </w:rPr>
        <w:t>“</w:t>
      </w:r>
      <w:r>
        <w:rPr>
          <w:rFonts w:ascii="Times New Roman;Times;serif" w:hAnsi="Times New Roman;Times;serif"/>
          <w:sz w:val="24"/>
          <w:u w:val="single"/>
        </w:rPr>
        <w:t>Ineligible Person</w:t>
      </w:r>
      <w:r>
        <w:rPr>
          <w:rFonts w:ascii="Times New Roman;Times;serif" w:hAnsi="Times New Roman;Times;serif"/>
          <w:sz w:val="20"/>
        </w:rPr>
        <w:t xml:space="preserve">” </w:t>
      </w:r>
      <w:r>
        <w:rPr>
          <w:rFonts w:ascii="Times New Roman;Times;serif" w:hAnsi="Times New Roman;Times;serif"/>
          <w:sz w:val="24"/>
        </w:rPr>
        <w:t>shall include any individual or entity who/which is debarred under the Federal Food, Drug, and Cosmetic Act or excluded, debarred, suspended, or otherwise ineligible to participate in federal health care programs (including Medicare and Medicaid) or federal procurement or non-procurement programs or any foreign equivalents of the above.</w:t>
      </w:r>
      <w:r>
        <w:rPr>
          <w:rFonts w:ascii="Times New Roman;Times;serif" w:hAnsi="Times New Roman;Times;serif"/>
          <w:sz w:val="20"/>
        </w:rPr>
        <w:t xml:space="preserve"> </w:t>
      </w:r>
    </w:p>
    <w:tbl>
      <w:tblPr>
        <w:tblW w:w="1855" w:type="dxa"/>
        <w:jc w:val="left"/>
        <w:tblInd w:w="0" w:type="dxa"/>
        <w:tblLayout w:type="fixed"/>
        <w:tblCellMar>
          <w:top w:w="0" w:type="dxa"/>
          <w:left w:w="0" w:type="dxa"/>
          <w:bottom w:w="0" w:type="dxa"/>
          <w:right w:w="0" w:type="dxa"/>
        </w:tblCellMar>
      </w:tblPr>
      <w:tblGrid>
        <w:gridCol w:w="200"/>
        <w:gridCol w:w="165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w:t>
            </w:r>
          </w:p>
        </w:tc>
        <w:tc>
          <w:tcPr>
            <w:tcW w:w="165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Confidentiality</w:t>
            </w:r>
            <w:r>
              <w:rPr>
                <w:rFonts w:ascii="Times New Roman;Times;serif" w:hAnsi="Times New Roman;Times;serif"/>
                <w:b w:val="false"/>
                <w:i w:val="false"/>
                <w:caps w:val="false"/>
                <w:smallCaps w:val="false"/>
                <w:sz w:val="24"/>
              </w:rPr>
              <w:t xml:space="preserve">.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w:t>
      </w:r>
      <w:r>
        <w:rPr>
          <w:rFonts w:ascii="Times New Roman;Times;serif" w:hAnsi="Times New Roman;Times;serif"/>
          <w:sz w:val="24"/>
          <w:u w:val="single"/>
        </w:rPr>
        <w:t>Company Confidential Information</w:t>
      </w:r>
      <w:r>
        <w:rPr>
          <w:rFonts w:ascii="Times New Roman;Times;serif" w:hAnsi="Times New Roman;Times;serif"/>
          <w:sz w:val="24"/>
        </w:rPr>
        <w:t>.  Consultant shall hold in strict confidence, and not use, except for the benefit of Iovance, and not disclose to any person or entity without written authorization of Iovance, any Confidential Information (as defined below).  “</w:t>
      </w:r>
      <w:r>
        <w:rPr>
          <w:rFonts w:ascii="Times New Roman;Times;serif" w:hAnsi="Times New Roman;Times;serif"/>
          <w:sz w:val="24"/>
          <w:u w:val="single"/>
        </w:rPr>
        <w:t>Confidential Information</w:t>
      </w:r>
      <w:r>
        <w:rPr>
          <w:rFonts w:ascii="Times New Roman;Times;serif" w:hAnsi="Times New Roman;Times;serif"/>
          <w:sz w:val="24"/>
        </w:rPr>
        <w:t xml:space="preserve">” means any proprietary or confidential information of Iovance, including technical data, trade secrets, or know-how, including research, product plans, products, services, customer lists and customers, markets, software, developments, inventions, processes, formulas, technology, designs, drawings, engineering, marketing, distribution and sales methods and systems, sales and profit figures, finances, and other business information disclosed to Consultant by or on behalf of Iovance, either directly or indirectly, whether in writing, orally, or by drawings or inspection of documents or other tangible property; </w:t>
      </w:r>
      <w:r>
        <w:rPr>
          <w:rFonts w:ascii="Times New Roman;Times;serif" w:hAnsi="Times New Roman;Times;serif"/>
          <w:sz w:val="24"/>
          <w:u w:val="single"/>
        </w:rPr>
        <w:t>provided</w:t>
      </w:r>
      <w:r>
        <w:rPr>
          <w:rFonts w:ascii="Times New Roman;Times;serif" w:hAnsi="Times New Roman;Times;serif"/>
          <w:sz w:val="24"/>
        </w:rPr>
        <w:t xml:space="preserve">, that Confidential Information shall not include any of the foregoing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3</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items to the extent they have become publicly known and made generally available through no wrongful act of Consultant.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4.2</w:t>
      </w:r>
      <w:bookmarkStart w:id="1814" w:name="_Ref461049715"/>
      <w:bookmarkEnd w:id="1814"/>
      <w:r>
        <w:rPr>
          <w:rFonts w:ascii="Times New Roman;Times;serif" w:hAnsi="Times New Roman;Times;serif"/>
          <w:sz w:val="24"/>
          <w:u w:val="single"/>
        </w:rPr>
        <w:t>Third-Party Information Held by Consultant</w:t>
      </w:r>
      <w:r>
        <w:rPr>
          <w:rFonts w:ascii="Times New Roman;Times;serif" w:hAnsi="Times New Roman;Times;serif"/>
          <w:sz w:val="24"/>
        </w:rPr>
        <w:t>.  Consultant represents and warrants that Consultant shall not improperly use or disclose to Iovance or any of its directors, officers, employees, or agents, any Confidential Information of any current or former client or other person or entity with whom Consultant has an agreement or duty to keep such information confidential, and that Consultant shall not bring onto the premises of Iovance any such information in any medium unless consented to in writing by such client, person, or entity.  In the event of Consultant’s breach of this Section 4.2, Consultant shall ensure that Iovance may freely and fully utilize the information so disclosed for any and all purposes.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4.3</w:t>
      </w:r>
      <w:r>
        <w:rPr>
          <w:rFonts w:ascii="Times New Roman;Times;serif" w:hAnsi="Times New Roman;Times;serif"/>
          <w:sz w:val="24"/>
          <w:u w:val="single"/>
        </w:rPr>
        <w:t>Third-Party Information Held by Iovance</w:t>
      </w:r>
      <w:r>
        <w:rPr>
          <w:rFonts w:ascii="Times New Roman;Times;serif" w:hAnsi="Times New Roman;Times;serif"/>
          <w:sz w:val="24"/>
        </w:rPr>
        <w:t>.  Consultant recognizes that Iovance has received, and in the future may receive, from third parties Confidential Information subject to a duty on Iovance’s part to maintain the confidentiality of such information and to use it only for certain limited purposes.  Consultant shall hold all such information in strict confidence and not disclose it to any person or entity or use it except as necessary in carrying out Projects and Services, consistent with Iovance’s agreement with such third party.  For purposes of this Agreement, such third-party information shall be deemed part of the Confidential Information of Iovance.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4.4</w:t>
      </w:r>
      <w:r>
        <w:rPr>
          <w:rFonts w:ascii="Times New Roman;Times;serif" w:hAnsi="Times New Roman;Times;serif"/>
          <w:sz w:val="24"/>
          <w:u w:val="single"/>
        </w:rPr>
        <w:t>Required Disclosure of Confidential Information</w:t>
      </w:r>
      <w:r>
        <w:rPr>
          <w:rFonts w:ascii="Times New Roman;Times;serif" w:hAnsi="Times New Roman;Times;serif"/>
          <w:sz w:val="24"/>
        </w:rPr>
        <w:t>.  If Consultant is required by law or court or governmental order to disclose Confidential Information, Consultant shall give Iovance prompt written notice of such requirement such that Iovance shall have the opportunity to apply for a protective order, injunction, or for confidential treatment of such Confidential Information.  Notwithstanding the forgoing, any information disclosed by Consultant pursuant to a court or governmental order shall remain Confidential Information and may not be disclosed under any other circumstances unless and until the Confidential Information so disclosed becomes publicly known and generally available through no wrongful act of Consultant.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4.5</w:t>
      </w:r>
      <w:r>
        <w:rPr>
          <w:rFonts w:ascii="Times New Roman;Times;serif" w:hAnsi="Times New Roman;Times;serif"/>
          <w:sz w:val="24"/>
          <w:u w:val="single"/>
        </w:rPr>
        <w:t>U.S. Defend Trade Secrets Act</w:t>
      </w:r>
      <w:r>
        <w:rPr>
          <w:rFonts w:ascii="Times New Roman;Times;serif" w:hAnsi="Times New Roman;Times;serif"/>
          <w:sz w:val="24"/>
        </w:rPr>
        <w:t>.  The U.S. Defend Trade Secrets Act of 2016 (“</w:t>
      </w:r>
      <w:r>
        <w:rPr>
          <w:rFonts w:ascii="Times New Roman;Times;serif" w:hAnsi="Times New Roman;Times;serif"/>
          <w:sz w:val="24"/>
          <w:u w:val="single"/>
        </w:rPr>
        <w:t>DTSA</w:t>
      </w:r>
      <w:r>
        <w:rPr>
          <w:rFonts w:ascii="Times New Roman;Times;serif" w:hAnsi="Times New Roman;Times;serif"/>
          <w:sz w:val="24"/>
        </w:rPr>
        <w:t>”) provides that an individual shall not be held criminally or civilly liable under any federal or state trade secret law for the disclosure of a trade secret that is made (a) (i) in confidence to a federal, state, or local government official, either directly or indirectly, or to an attorney, and (ii) solely for the purpose of reporting or investigating a suspected violation of law; or (b)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  Nothing in this Agreement is intended to limit any rights under such federal law.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4.6</w:t>
      </w:r>
      <w:bookmarkStart w:id="1815" w:name="_Hlk56260062"/>
      <w:bookmarkEnd w:id="1815"/>
      <w:r>
        <w:rPr>
          <w:rFonts w:ascii="Times New Roman;Times;serif" w:hAnsi="Times New Roman;Times;serif"/>
          <w:sz w:val="24"/>
          <w:u w:val="single"/>
        </w:rPr>
        <w:t>Material Non-Public Information</w:t>
      </w:r>
      <w:r>
        <w:rPr>
          <w:rFonts w:ascii="Times New Roman;Times;serif" w:hAnsi="Times New Roman;Times;serif"/>
          <w:sz w:val="24"/>
        </w:rPr>
        <w:t>.  Consultant acknowledges that certain Confidential Information may be considered material, non-public information of Iovance pursuant to applicable securities laws and regulations (“</w:t>
      </w:r>
      <w:r>
        <w:rPr>
          <w:rFonts w:ascii="Times New Roman;Times;serif" w:hAnsi="Times New Roman;Times;serif"/>
          <w:sz w:val="24"/>
          <w:u w:val="single"/>
        </w:rPr>
        <w:t>MNPI</w:t>
      </w:r>
      <w:r>
        <w:rPr>
          <w:rFonts w:ascii="Times New Roman;Times;serif" w:hAnsi="Times New Roman;Times;serif"/>
          <w:sz w:val="24"/>
        </w:rPr>
        <w:t xml:space="preserve">”).  Consultant agrees (i) not to trade in securities of Iovance while in possession of MNPI and to comply with all applicable federal and state securities laws and regulations, and (ii) not to provide MNPI to any other person who might trade in securities of Iovance.  Consultant </w:t>
      </w:r>
      <w:r>
        <w:rPr>
          <w:rFonts w:ascii="Times New Roman;Times;serif" w:hAnsi="Times New Roman;Times;serif"/>
          <w:spacing w:val="-2"/>
          <w:sz w:val="24"/>
        </w:rPr>
        <w:t xml:space="preserve">agrees that it will advise its subcontractors (if approved by Iovance pursuant to Section 3.1) that federal and state securities laws and regulations may prohibit any person who has received from an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4</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pacing w:val="-2"/>
          <w:sz w:val="24"/>
        </w:rPr>
        <w:t>issuer any MNPI about such issuer from purchasing or selling securities of such issuer on the basis of such information or from communicating such information to any other person under circumstances in which it is reasonably foreseeable that such person is likely to purchase or sell such securities</w:t>
      </w:r>
      <w:r>
        <w:rPr>
          <w:rFonts w:ascii="Times New Roman;Times;serif" w:hAnsi="Times New Roman;Times;serif"/>
          <w:spacing w:val="-2"/>
          <w:sz w:val="22"/>
        </w:rPr>
        <w:t>.</w:t>
      </w:r>
    </w:p>
    <w:tbl>
      <w:tblPr>
        <w:tblW w:w="2575" w:type="dxa"/>
        <w:jc w:val="left"/>
        <w:tblInd w:w="0" w:type="dxa"/>
        <w:tblLayout w:type="fixed"/>
        <w:tblCellMar>
          <w:top w:w="0" w:type="dxa"/>
          <w:left w:w="0" w:type="dxa"/>
          <w:bottom w:w="0" w:type="dxa"/>
          <w:right w:w="0" w:type="dxa"/>
        </w:tblCellMar>
      </w:tblPr>
      <w:tblGrid>
        <w:gridCol w:w="200"/>
        <w:gridCol w:w="237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w:t>
            </w:r>
          </w:p>
        </w:tc>
        <w:tc>
          <w:tcPr>
            <w:tcW w:w="237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Ownership of Results</w:t>
            </w:r>
            <w:r>
              <w:rPr>
                <w:rFonts w:ascii="Times New Roman;Times;serif" w:hAnsi="Times New Roman;Times;serif"/>
                <w:b w:val="false"/>
                <w:i w:val="false"/>
                <w:caps w:val="false"/>
                <w:smallCaps w:val="false"/>
                <w:sz w:val="24"/>
              </w:rPr>
              <w:t>.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5.1</w:t>
      </w:r>
      <w:r>
        <w:rPr>
          <w:rFonts w:ascii="Times New Roman;Times;serif" w:hAnsi="Times New Roman;Times;serif"/>
          <w:sz w:val="24"/>
          <w:u w:val="single"/>
        </w:rPr>
        <w:t>Assignment of Inventions</w:t>
      </w:r>
      <w:r>
        <w:rPr>
          <w:rFonts w:ascii="Times New Roman;Times;serif" w:hAnsi="Times New Roman;Times;serif"/>
          <w:sz w:val="24"/>
        </w:rPr>
        <w:t>.  Consultant shall promptly make full written disclosure to Iovance, shall hold in trust for the sole right and benefit of Iovance, and hereby assigns, transfers and conveys to Iovance, or its designee, all of Consultant’s worldwide right, title, and interest in and to any and all inventions, findings, conclusions, data, discoveries, developments, concepts, improvements, trade secrets, techniques, processes and know-how, whether or not patentable or registrable under patent, copyright, or similar laws, that Consultant may solely or jointly conceive, develop, or reduce to practice, or cause to be conceived, developed, or reduced to practice, in furtherance of the Services or that result, to any extent, from the use of or access to Iovance’s Confidential Information, premises, or property (collectively, the “</w:t>
      </w:r>
      <w:r>
        <w:rPr>
          <w:rFonts w:ascii="Times New Roman;Times;serif" w:hAnsi="Times New Roman;Times;serif"/>
          <w:sz w:val="24"/>
          <w:u w:val="single"/>
        </w:rPr>
        <w:t>Inventions</w:t>
      </w:r>
      <w:r>
        <w:rPr>
          <w:rFonts w:ascii="Times New Roman;Times;serif" w:hAnsi="Times New Roman;Times;serif"/>
          <w:sz w:val="24"/>
        </w:rPr>
        <w:t>”), including any and all moral rights and intellectual property rights inherent therein and appurtenant thereto, including all patent rights, copyrights, trademarks, know-how, and trade secrets and the rights to apply for the same (collectively, “</w:t>
      </w:r>
      <w:r>
        <w:rPr>
          <w:rFonts w:ascii="Times New Roman;Times;serif" w:hAnsi="Times New Roman;Times;serif"/>
          <w:sz w:val="24"/>
          <w:u w:val="single"/>
        </w:rPr>
        <w:t>Intellectual Property Rights</w:t>
      </w:r>
      <w:r>
        <w:rPr>
          <w:rFonts w:ascii="Times New Roman;Times;serif" w:hAnsi="Times New Roman;Times;serif"/>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5.2</w:t>
      </w:r>
      <w:r>
        <w:rPr>
          <w:rFonts w:ascii="Times New Roman;Times;serif" w:hAnsi="Times New Roman;Times;serif"/>
          <w:sz w:val="24"/>
          <w:u w:val="single"/>
        </w:rPr>
        <w:t>Further Assurances</w:t>
      </w:r>
      <w:r>
        <w:rPr>
          <w:rFonts w:ascii="Times New Roman;Times;serif" w:hAnsi="Times New Roman;Times;serif"/>
          <w:sz w:val="24"/>
        </w:rPr>
        <w:t>.  Upon the request and at the expense of Iovance, Consultant shall execute and deliver any and all instruments and documents and take such other acts as may be necessary or desirable to document the assignment and transfer described in Section 5.1 or to enable Iovance to secure its rights in the Inventions and Intellectual Property Rights relating thereto in any and all jurisdictions, or to apply for, prosecute, and enforce Intellectual Property Rights in any and all jurisdictions with respect to any Inventions, or to obtain any extension, validation, re-issue, continuance, or renewal of any such Intellectual Property Right.  Without limiting the foregoing, Consultant shall disclose to Iovance all pertinent information and data with respect thereto and shall execute all applications, specifications, oaths, and all other instruments which Iovance deems necessary in order to apply for and obtain such rights and in order to assign and convey to Iovance the sole and exclusive right, title, and interest in and to such Inventions and any Intellectual Property Rights relating thereto.  If Iovance is unable for any other reason to secure Consultant’s signature to apply for or to pursue any application for any United States or foreign patent, trademark, copyright, or other registration covering Inventions assigned to Iovance hereunder, then Consultant hereby irrevocably designates and appoints Iovance and its duly authorized officers and agents as Consultant’s agent and attorney in fact, to act for and in Consultant’s behalf and stead to execute and file any such applications and to do all other lawfully permitted acts to further the prosecution and issuance of letters patent or trademark, copyright, or other registrations thereon with the same legal force and effect as if executed by Consultant.</w:t>
      </w:r>
    </w:p>
    <w:tbl>
      <w:tblPr>
        <w:tblW w:w="2755" w:type="dxa"/>
        <w:jc w:val="left"/>
        <w:tblInd w:w="0" w:type="dxa"/>
        <w:tblLayout w:type="fixed"/>
        <w:tblCellMar>
          <w:top w:w="0" w:type="dxa"/>
          <w:left w:w="0" w:type="dxa"/>
          <w:bottom w:w="0" w:type="dxa"/>
          <w:right w:w="0" w:type="dxa"/>
        </w:tblCellMar>
      </w:tblPr>
      <w:tblGrid>
        <w:gridCol w:w="200"/>
        <w:gridCol w:w="2555"/>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6.</w:t>
            </w:r>
          </w:p>
        </w:tc>
        <w:tc>
          <w:tcPr>
            <w:tcW w:w="255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Term and Termination</w:t>
            </w:r>
            <w:r>
              <w:rPr>
                <w:rFonts w:ascii="Times New Roman;Times;serif" w:hAnsi="Times New Roman;Times;serif"/>
                <w:b w:val="false"/>
                <w:i w:val="false"/>
                <w:caps w:val="false"/>
                <w:smallCaps w:val="false"/>
                <w:sz w:val="24"/>
              </w:rPr>
              <w:t>.  </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w:t>
      </w:r>
      <w:r>
        <w:rPr>
          <w:rFonts w:ascii="Times New Roman;Times;serif" w:hAnsi="Times New Roman;Times;serif"/>
          <w:sz w:val="24"/>
          <w:u w:val="single"/>
        </w:rPr>
        <w:t>Term</w:t>
      </w:r>
      <w:r>
        <w:rPr>
          <w:rFonts w:ascii="Times New Roman;Times;serif" w:hAnsi="Times New Roman;Times;serif"/>
          <w:sz w:val="24"/>
        </w:rPr>
        <w:t>.  The term of this Agreement shall begin on the Effective Date and shall continue until December 9, 2026 (the “</w:t>
      </w:r>
      <w:r>
        <w:rPr>
          <w:rFonts w:ascii="Times New Roman;Times;serif" w:hAnsi="Times New Roman;Times;serif"/>
          <w:sz w:val="24"/>
          <w:u w:val="single"/>
        </w:rPr>
        <w:t>Term</w:t>
      </w:r>
      <w:r>
        <w:rPr>
          <w:rFonts w:ascii="Times New Roman;Times;serif" w:hAnsi="Times New Roman;Times;serif"/>
          <w:sz w:val="24"/>
        </w:rPr>
        <w:t>”) unless earlier terminated pursuant to this Section 6.  The continuation of this Agreement is contingent on Consultant signing and not revoking the Separation Agreement.  The Term may be extended only in writing signed by the Chief Executive Officer of Iovance expressly for the purpose of extending the Term of the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w:t>
      </w:r>
      <w:r>
        <w:rPr>
          <w:rFonts w:ascii="Times New Roman;Times;serif" w:hAnsi="Times New Roman;Times;serif"/>
          <w:sz w:val="24"/>
          <w:u w:val="single"/>
        </w:rPr>
        <w:t>Termination</w:t>
      </w:r>
      <w:r>
        <w:rPr>
          <w:rFonts w:ascii="Times New Roman;Times;serif" w:hAnsi="Times New Roman;Times;serif"/>
          <w:sz w:val="24"/>
        </w:rPr>
        <w:t xml:space="preserve">.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5</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By Iovance</w:t>
      </w:r>
      <w:r>
        <w:rPr>
          <w:rFonts w:ascii="Times New Roman;Times;serif" w:hAnsi="Times New Roman;Times;serif"/>
          <w:sz w:val="24"/>
        </w:rPr>
        <w:t>.  Iovance shall have the right to terminate this Agreement, without notice or penalty, upon the occurrence of any of the following events: (i) Consultant fails or refuses to perform Services as contemplated in this Agreement, (ii) Consultant breaches his obligations under this Agreement or otherwise engages in fraud, dishonesty, willful misconduct or gross negligence in performance of his contractual obligations, (iii) Consultant revokes the Separation Agreement, (iv) Consultant is convicted of a criminal offense; or (v) the death or disability of Consultant.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By Consultant</w:t>
      </w:r>
      <w:r>
        <w:rPr>
          <w:rFonts w:ascii="Times New Roman;Times;serif" w:hAnsi="Times New Roman;Times;serif"/>
          <w:sz w:val="24"/>
        </w:rPr>
        <w:t xml:space="preserve">.  Consultant shall have the right to terminate this Agreement with or without cause upon seven (7) days’ written notice to Iovance in accordance with Section 7.1.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6.3</w:t>
      </w:r>
      <w:r>
        <w:rPr>
          <w:rFonts w:ascii="Times New Roman;Times;serif" w:hAnsi="Times New Roman;Times;serif"/>
          <w:sz w:val="24"/>
          <w:u w:val="single"/>
        </w:rPr>
        <w:t>Obligations</w:t>
      </w:r>
      <w:r>
        <w:rPr>
          <w:rFonts w:ascii="Times New Roman;Times;serif" w:hAnsi="Times New Roman;Times;serif"/>
          <w:sz w:val="24"/>
        </w:rPr>
        <w:t xml:space="preserve">.  Upon termination, Iovance shall have no obligation to pay Consultant any fees or expenses that accrued subsequent to (a) a breach of Consultant’s obligations hereunder, (b) the failure of Consultant to perform the Services as contemplated by this Agreement, or (c) the commission of fraud upon Iovance by Consultant.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6.4</w:t>
      </w:r>
      <w:r>
        <w:rPr>
          <w:rFonts w:ascii="Times New Roman;Times;serif" w:hAnsi="Times New Roman;Times;serif"/>
          <w:sz w:val="24"/>
          <w:u w:val="single"/>
        </w:rPr>
        <w:t>Survival</w:t>
      </w:r>
      <w:r>
        <w:rPr>
          <w:rFonts w:ascii="Times New Roman;Times;serif" w:hAnsi="Times New Roman;Times;serif"/>
          <w:sz w:val="24"/>
        </w:rPr>
        <w:t xml:space="preserve">.  The provisions of Sections 3.3, 4, 5, 6.3, 6.4, and 7 shall survive the expiration or termination of this Agreement.  The expiration or termination of this Agreement shall not impair any right or obligation of any Party accruing prior to the effective date of such expiration or termination. </w:t>
      </w:r>
    </w:p>
    <w:tbl>
      <w:tblPr>
        <w:tblW w:w="1690" w:type="dxa"/>
        <w:jc w:val="left"/>
        <w:tblInd w:w="0" w:type="dxa"/>
        <w:tblLayout w:type="fixed"/>
        <w:tblCellMar>
          <w:top w:w="0" w:type="dxa"/>
          <w:left w:w="0" w:type="dxa"/>
          <w:bottom w:w="0" w:type="dxa"/>
          <w:right w:w="0" w:type="dxa"/>
        </w:tblCellMar>
      </w:tblPr>
      <w:tblGrid>
        <w:gridCol w:w="200"/>
        <w:gridCol w:w="1490"/>
      </w:tblGrid>
      <w:tr>
        <w:trPr/>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w:t>
            </w:r>
          </w:p>
        </w:tc>
        <w:tc>
          <w:tcPr>
            <w:tcW w:w="149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Miscellaneous</w:t>
            </w:r>
            <w:r>
              <w:rPr>
                <w:rFonts w:ascii="Times New Roman;Times;serif" w:hAnsi="Times New Roman;Times;serif"/>
                <w:b w:val="false"/>
                <w:i w:val="false"/>
                <w:caps w:val="false"/>
                <w:smallCaps w:val="false"/>
                <w:sz w:val="24"/>
              </w:rPr>
              <w:t>.</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w:t>
      </w:r>
      <w:r>
        <w:rPr>
          <w:rFonts w:ascii="Times New Roman;Times;serif" w:hAnsi="Times New Roman;Times;serif"/>
          <w:sz w:val="24"/>
          <w:u w:val="single"/>
        </w:rPr>
        <w:t>Notices</w:t>
      </w:r>
      <w:r>
        <w:rPr>
          <w:rFonts w:ascii="Times New Roman;Times;serif" w:hAnsi="Times New Roman;Times;serif"/>
          <w:sz w:val="24"/>
        </w:rPr>
        <w:t>.  All notices and other communications required or permitted hereunder shall be in writing and deemed to have been given when hand delivered, or mailed by registered or certified mail or overnight courier with tracking capabilities, as follows or as a Party may otherwise notify to the other in accordance with this Section 7 (provided that such notice of change of address or recipient shall be deemed given only when received):</w:t>
      </w:r>
    </w:p>
    <w:tbl>
      <w:tblPr>
        <w:tblW w:w="10022" w:type="dxa"/>
        <w:jc w:val="center"/>
        <w:tblInd w:w="0" w:type="dxa"/>
        <w:tblLayout w:type="fixed"/>
        <w:tblCellMar>
          <w:top w:w="0" w:type="dxa"/>
          <w:left w:w="0" w:type="dxa"/>
          <w:bottom w:w="0" w:type="dxa"/>
          <w:right w:w="0" w:type="dxa"/>
        </w:tblCellMar>
      </w:tblPr>
      <w:tblGrid>
        <w:gridCol w:w="4666"/>
        <w:gridCol w:w="5356"/>
      </w:tblGrid>
      <w:tr>
        <w:trPr/>
        <w:tc>
          <w:tcPr>
            <w:tcW w:w="4666" w:type="dxa"/>
            <w:tcBorders/>
            <w:vAlign w:val="center"/>
          </w:tcPr>
          <w:p>
            <w:pPr>
              <w:pStyle w:val="TableContents"/>
              <w:bidi w:val="0"/>
              <w:spacing w:before="0" w:after="0"/>
              <w:ind w:left="0" w:right="0" w:hanging="0"/>
              <w:jc w:val="left"/>
              <w:rPr>
                <w:rFonts w:ascii="Times New Roman;Times;serif" w:hAnsi="Times New Roman;Times;serif"/>
                <w:b/>
                <w:i/>
                <w:sz w:val="24"/>
              </w:rPr>
            </w:pPr>
            <w:r>
              <w:rPr>
                <w:rFonts w:ascii="Times New Roman;Times;serif" w:hAnsi="Times New Roman;Times;serif"/>
                <w:b/>
                <w:i/>
                <w:sz w:val="24"/>
              </w:rPr>
              <w:t>If to Iovance, to:</w:t>
            </w:r>
          </w:p>
        </w:tc>
        <w:tc>
          <w:tcPr>
            <w:tcW w:w="5356" w:type="dxa"/>
            <w:tcBorders/>
            <w:vAlign w:val="center"/>
          </w:tcPr>
          <w:p>
            <w:pPr>
              <w:pStyle w:val="TableContents"/>
              <w:bidi w:val="0"/>
              <w:spacing w:before="0" w:after="0"/>
              <w:ind w:left="0" w:right="0" w:hanging="0"/>
              <w:jc w:val="left"/>
              <w:rPr>
                <w:rFonts w:ascii="Times New Roman;Times;serif" w:hAnsi="Times New Roman;Times;serif"/>
                <w:b/>
                <w:i/>
                <w:sz w:val="24"/>
              </w:rPr>
            </w:pPr>
            <w:r>
              <w:rPr>
                <w:rFonts w:ascii="Times New Roman;Times;serif" w:hAnsi="Times New Roman;Times;serif"/>
                <w:b/>
                <w:i/>
                <w:sz w:val="24"/>
              </w:rPr>
              <w:t>If to Consultant, to:</w:t>
            </w:r>
          </w:p>
        </w:tc>
      </w:tr>
      <w:tr>
        <w:trPr/>
        <w:tc>
          <w:tcPr>
            <w:tcW w:w="4666" w:type="dxa"/>
            <w:tcBorders/>
            <w:vAlign w:val="center"/>
          </w:tcPr>
          <w:p>
            <w:pPr>
              <w:pStyle w:val="TableContents"/>
              <w:bidi w:val="0"/>
              <w:spacing w:before="0" w:after="0"/>
              <w:ind w:left="0" w:right="0" w:hanging="0"/>
              <w:jc w:val="left"/>
              <w:rPr/>
            </w:pPr>
            <w:r>
              <w:rPr/>
              <w:t>​</w:t>
            </w:r>
          </w:p>
        </w:tc>
        <w:tc>
          <w:tcPr>
            <w:tcW w:w="5356"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Iovance Biotherapeutics, Inc.</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825 Industrial Road, Suite 100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San Carlos, CA 94070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Legal Department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With an electronic copy to: legal@iovance.com </w:t>
            </w:r>
          </w:p>
        </w:tc>
        <w:tc>
          <w:tcPr>
            <w:tcW w:w="535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Friedrich-Reinhard Graf Finck von Finckenstein, M.D.</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 </w:t>
            </w:r>
          </w:p>
        </w:tc>
      </w:tr>
      <w:tr>
        <w:trPr/>
        <w:tc>
          <w:tcPr>
            <w:tcW w:w="4666" w:type="dxa"/>
            <w:tcBorders/>
            <w:vAlign w:val="center"/>
          </w:tcPr>
          <w:p>
            <w:pPr>
              <w:pStyle w:val="TableContents"/>
              <w:bidi w:val="0"/>
              <w:spacing w:before="0" w:after="0"/>
              <w:ind w:left="0" w:right="0" w:hanging="0"/>
              <w:jc w:val="left"/>
              <w:rPr/>
            </w:pPr>
            <w:r>
              <w:rPr/>
              <w:t>​</w:t>
            </w:r>
          </w:p>
        </w:tc>
        <w:tc>
          <w:tcPr>
            <w:tcW w:w="53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7.2</w:t>
      </w:r>
      <w:r>
        <w:rPr>
          <w:rFonts w:ascii="Times New Roman;Times;serif" w:hAnsi="Times New Roman;Times;serif"/>
          <w:sz w:val="24"/>
          <w:u w:val="single"/>
        </w:rPr>
        <w:t>Property; Return or Destruction</w:t>
      </w:r>
      <w:r>
        <w:rPr>
          <w:rFonts w:ascii="Times New Roman;Times;serif" w:hAnsi="Times New Roman;Times;serif"/>
          <w:sz w:val="24"/>
        </w:rPr>
        <w:t>.  Consultant shall not remove any property from Iovance’s premises without prior written authorization from Iovance.  Promptly upon the expiration or termination of this Agreement, and earlier if requested by Iovance at any time, Consultant shall deliver to Iovance (and shall not keep in Consultant’s possession or deliver to anyone else) or, at Iovance’s option, destroy all Confidential Information of Iovance (and all embodiments thereof) and all software, documentation, devices, records, data, notes, reports, proposals, lists, correspondence, specifications, drawings, blueprints, sketches, materials, equipment, other documents or property, or reproductions of any aforementioned items, or any other work product whatsoever, developed by Consultant as part of, or in connection with, the Services or otherwise belonging to Iovance.  Consultant shall certify in writing as to such complete return or destruction.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6</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7.3</w:t>
      </w:r>
      <w:r>
        <w:rPr>
          <w:rFonts w:ascii="Times New Roman;Times;serif" w:hAnsi="Times New Roman;Times;serif"/>
          <w:sz w:val="24"/>
          <w:u w:val="single"/>
        </w:rPr>
        <w:t>Indemnification</w:t>
      </w:r>
      <w:r>
        <w:rPr>
          <w:rFonts w:ascii="Times New Roman;Times;serif" w:hAnsi="Times New Roman;Times;serif"/>
          <w:sz w:val="24"/>
        </w:rPr>
        <w:t>.  Consultant shall indemnify Iovance for all costs, fees (including reasonable attorneys’ fees), expenses, losses, and other damages arising from (a) any injury to person or damage to property caused by Consultant, (b) any breach of this Agreement by Consultant, or (c) Consultant’s negligence or willful misconduct.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7.4</w:t>
      </w:r>
      <w:r>
        <w:rPr>
          <w:rFonts w:ascii="Times New Roman;Times;serif" w:hAnsi="Times New Roman;Times;serif"/>
          <w:sz w:val="24"/>
          <w:u w:val="single"/>
        </w:rPr>
        <w:t>Advice of Counsel</w:t>
      </w:r>
      <w:r>
        <w:rPr>
          <w:rFonts w:ascii="Times New Roman;Times;serif" w:hAnsi="Times New Roman;Times;serif"/>
          <w:sz w:val="24"/>
        </w:rPr>
        <w:t>.  Each Party acknowledges that, in executing this Agreement, such Party has had the opportunity to seek the advice of independent legal counsel and has read and understood all of the terms and provisions of this Agreement.  Furthermore, this Agreement shall not be construed against any Party by reason of the drafting or preparation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7.5</w:t>
      </w:r>
      <w:r>
        <w:rPr>
          <w:rFonts w:ascii="Times New Roman;Times;serif" w:hAnsi="Times New Roman;Times;serif"/>
          <w:sz w:val="24"/>
          <w:u w:val="single"/>
        </w:rPr>
        <w:t>Assignment; No Third-Party Beneficiaries</w:t>
      </w:r>
      <w:r>
        <w:rPr>
          <w:rFonts w:ascii="Times New Roman;Times;serif" w:hAnsi="Times New Roman;Times;serif"/>
          <w:sz w:val="24"/>
        </w:rPr>
        <w:t>. Iovance may assign this Agreement without the prior written consent of Consultant.  Consultant hereby acknowledges and agrees that the duties and responsibilities of Consultant hereunder are of a personal nature and shall not be assignable or delegable in whole or in part by Consultant.  All of the terms and provisions of this Agreement shall be binding upon and inure to the benefit of and be enforceable by the respective heirs, executors, administrators, legal representatives, successors, and permitted assigns of the Parties.  Nothing in this Agreement, express or implied, is intended to confer on any person or entity other than the Parties hereto or their respective successors and permitted assigns, any benefits, rights, or remedies.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7.6</w:t>
      </w:r>
      <w:r>
        <w:rPr>
          <w:rFonts w:ascii="Times New Roman;Times;serif" w:hAnsi="Times New Roman;Times;serif"/>
          <w:sz w:val="24"/>
          <w:u w:val="single"/>
        </w:rPr>
        <w:t>Governing Law, Jurisdiction, and Attorney Fees</w:t>
      </w:r>
      <w:r>
        <w:rPr>
          <w:rFonts w:ascii="Times New Roman;Times;serif" w:hAnsi="Times New Roman;Times;serif"/>
          <w:sz w:val="24"/>
        </w:rPr>
        <w:t>.  This Agreement shall be governed by and interpreted in accordance with the laws of the State of California, United States of America, without giving effect to any conflict of laws provisions.  The Parties agree that any dispute or controversy arising out of or relating to any interpretation, construction, performance or breach of this Agreement may be brought in the federal or state court, as appropriate, for disputes arising in  the county of San Mateo, State of California. Employee expressly waives any objection to  forum non conveniens or jurisdiction as well as choice of law. The prevailing Party in any dispute or legal action regarding the subject matter of this Agreement shall be entitled to recover attorney’s fees and costs.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7.7</w:t>
      </w:r>
      <w:r>
        <w:rPr>
          <w:rFonts w:ascii="Times New Roman;Times;serif" w:hAnsi="Times New Roman;Times;serif"/>
          <w:sz w:val="24"/>
          <w:u w:val="single"/>
        </w:rPr>
        <w:t>Equitable Relief</w:t>
      </w:r>
      <w:r>
        <w:rPr>
          <w:rFonts w:ascii="Times New Roman;Times;serif" w:hAnsi="Times New Roman;Times;serif"/>
          <w:sz w:val="24"/>
        </w:rPr>
        <w:t xml:space="preserve">.  Consultant agrees that the confidentiality, assignment, licensing and related obligations in Sections 4 and 5 are reasonably necessary to protect Iovance’s legitimate business interests.  Consultant acknowledges that such limitations will not constitute or cause it any undue hardship.  Consultant further agrees that it would be impossible or inadequate to measure and calculate Iovance’s damages from any breach of the covenants set forth in Sections 4 and 5 of this Agreement, and that a breach of such covenants could cause serious and irreparable injury to Iovance.  Accordingly, Iovance shall have available, in addition to any other right or remedy available to it, the right to obtain an injunction from a court of competent jurisdiction restraining such a breach (or threatened breach) and to specific performance of any such Section.  Consultant further agrees that no bond or other security shall be required in obtaining such equitable relief and Consultant hereby consents to the issuance of such injunction and to the ordering of specific performance.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7.8</w:t>
      </w:r>
      <w:r>
        <w:rPr>
          <w:rFonts w:ascii="Times New Roman;Times;serif" w:hAnsi="Times New Roman;Times;serif"/>
          <w:sz w:val="24"/>
          <w:u w:val="single"/>
        </w:rPr>
        <w:t>Entire Agreement, Amendment, and Waiver</w:t>
      </w:r>
      <w:r>
        <w:rPr>
          <w:rFonts w:ascii="Times New Roman;Times;serif" w:hAnsi="Times New Roman;Times;serif"/>
          <w:sz w:val="24"/>
        </w:rPr>
        <w:t xml:space="preserve">.  This Agreement (including the schedules hereto) contains the entire understandings of the Parties and supersedes all previous agreements (oral and written), negotiations, and discussions with respect to the Services.  The Parties may modify any of the provisions hereof only by an instrument in writing duly executed by the Parties.  No waiver of any rights under this Agreement shall be effective unless in writing signed by the Party to be charged.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7</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7.9</w:t>
      </w:r>
      <w:r>
        <w:rPr>
          <w:rFonts w:ascii="Times New Roman;Times;serif" w:hAnsi="Times New Roman;Times;serif"/>
          <w:sz w:val="24"/>
          <w:u w:val="single"/>
        </w:rPr>
        <w:t>Severability</w:t>
      </w:r>
      <w:r>
        <w:rPr>
          <w:rFonts w:ascii="Times New Roman;Times;serif" w:hAnsi="Times New Roman;Times;serif"/>
          <w:sz w:val="24"/>
        </w:rPr>
        <w:t>.  In the event of the invalidity of any provisions of this Agreement containing any gaps, the Parties agree that such invalidity or gap shall not affect the validity of the remaining provisions of this Agreement.  The Parties will replace an invalid provision or fill any gaps with valid provisions, which most closely approximate the purpose and economic effect of the invalid provision or, in the case of a gap, the Parties’ presumable intentions.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7.10</w:t>
      </w:r>
      <w:r>
        <w:rPr>
          <w:rFonts w:ascii="Times New Roman;Times;serif" w:hAnsi="Times New Roman;Times;serif"/>
          <w:sz w:val="24"/>
          <w:u w:val="single"/>
        </w:rPr>
        <w:t>Interpretation</w:t>
      </w:r>
      <w:r>
        <w:rPr>
          <w:rFonts w:ascii="Times New Roman;Times;serif" w:hAnsi="Times New Roman;Times;serif"/>
          <w:sz w:val="24"/>
        </w:rPr>
        <w:t>.  The headings in this Agreement are intended solely for convenience or reference and shall be given no effect in the construction or interpretation of this Agreement.  The words “include,” “includes,” and “including” (and words of similar meaning) shall be deemed to be followed by the phrase “without limitation.”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7.11</w:t>
      </w:r>
      <w:r>
        <w:rPr>
          <w:rFonts w:ascii="Times New Roman;Times;serif" w:hAnsi="Times New Roman;Times;serif"/>
          <w:sz w:val="24"/>
          <w:u w:val="single"/>
        </w:rPr>
        <w:t>Survival</w:t>
      </w:r>
      <w:r>
        <w:rPr>
          <w:rFonts w:ascii="Times New Roman;Times;serif" w:hAnsi="Times New Roman;Times;serif"/>
          <w:sz w:val="24"/>
        </w:rPr>
        <w:t>.  The rights and obligations of the Parties, which by intent or meaning have validity beyond such termination (including rights with respect to confidentiality and inventions) shall survive the termination or expiration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7.12</w:t>
      </w:r>
      <w:r>
        <w:rPr>
          <w:rFonts w:ascii="Times New Roman;Times;serif" w:hAnsi="Times New Roman;Times;serif"/>
          <w:sz w:val="24"/>
          <w:u w:val="single"/>
        </w:rPr>
        <w:t>Counterparts</w:t>
      </w:r>
      <w:r>
        <w:rPr>
          <w:rFonts w:ascii="Times New Roman;Times;serif" w:hAnsi="Times New Roman;Times;serif"/>
          <w:sz w:val="24"/>
        </w:rPr>
        <w:t>.  This Agreement may be executed in two (2) or more counterparts, including by “PDF” exchange, each of which shall be deemed to be an original as against any Party whose signature appears thereon, but all of which together shall constitute but one and the same instrument.</w:t>
      </w:r>
    </w:p>
    <w:p>
      <w:pPr>
        <w:pStyle w:val="TextBody"/>
        <w:bidi w:val="0"/>
        <w:spacing w:before="0" w:after="0"/>
        <w:ind w:left="0" w:right="0" w:hanging="0"/>
        <w:jc w:val="center"/>
        <w:rPr>
          <w:rFonts w:ascii="Times New Roman;Times;serif" w:hAnsi="Times New Roman;Times;serif"/>
          <w:b/>
          <w:i/>
          <w:sz w:val="24"/>
        </w:rPr>
      </w:pPr>
      <w:r>
        <w:rPr>
          <w:rFonts w:ascii="Times New Roman;Times;serif" w:hAnsi="Times New Roman;Times;serif"/>
          <w:b/>
          <w:i/>
          <w:sz w:val="24"/>
        </w:rPr>
        <w:t>[Signature Page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8</w:t>
      </w:r>
    </w:p>
    <w:p>
      <w:pPr>
        <w:pStyle w:val="TextBody"/>
        <w:bidi w:val="0"/>
        <w:spacing w:before="0" w:after="0"/>
        <w:ind w:left="0" w:right="0" w:hanging="0"/>
        <w:jc w:val="righ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 WITNESS WHEREOF, the undersigned, intending to be legally bound, have duly executed this Agreement as of the Effective Date.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5"/>
        <w:gridCol w:w="6490"/>
      </w:tblGrid>
      <w:tr>
        <w:trPr/>
        <w:tc>
          <w:tcPr>
            <w:tcW w:w="3715" w:type="dxa"/>
            <w:tcBorders/>
            <w:vAlign w:val="center"/>
          </w:tcPr>
          <w:p>
            <w:pPr>
              <w:pStyle w:val="TableContents"/>
              <w:bidi w:val="0"/>
              <w:spacing w:before="0" w:after="520"/>
              <w:ind w:left="0" w:right="0" w:hanging="0"/>
              <w:jc w:val="left"/>
              <w:rPr>
                <w:rFonts w:ascii="Times New Roman;Times;serif" w:hAnsi="Times New Roman;Times;serif"/>
                <w:b/>
                <w:sz w:val="24"/>
              </w:rPr>
            </w:pPr>
            <w:r>
              <w:rPr>
                <w:rFonts w:ascii="Times New Roman;Times;serif" w:hAnsi="Times New Roman;Times;serif"/>
                <w:b/>
                <w:sz w:val="24"/>
              </w:rPr>
              <w:t>IOVANCE BIOTHERAPEUTICS, INC.</w:t>
            </w:r>
          </w:p>
          <w:p>
            <w:pPr>
              <w:pStyle w:val="TableContents"/>
              <w:bidi w:val="0"/>
              <w:spacing w:before="0" w:after="240"/>
              <w:ind w:left="0" w:right="0" w:hanging="0"/>
              <w:jc w:val="left"/>
              <w:rPr/>
            </w:pPr>
            <w:r>
              <w:rPr/>
              <w:t>​</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u w:val="single"/>
              </w:rPr>
              <w:t>/s/ Frederick G. Vogt​ ​</w:t>
            </w:r>
            <w:r>
              <w:rPr>
                <w:rFonts w:ascii="Times New Roman;Times;serif" w:hAnsi="Times New Roman;Times;serif"/>
                <w:sz w:val="24"/>
              </w:rPr>
              <w:br/>
              <w:t>Authorized Signature</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Name: Frederick G. Vogt, Ph.D., J.D.</w:t>
              <w:br/>
              <w:t>Title: Interim CEO and Presidant</w:t>
            </w:r>
          </w:p>
        </w:tc>
        <w:tc>
          <w:tcPr>
            <w:tcW w:w="6490" w:type="dxa"/>
            <w:tcBorders/>
            <w:vAlign w:val="center"/>
          </w:tcPr>
          <w:p>
            <w:pPr>
              <w:pStyle w:val="TableContents"/>
              <w:bidi w:val="0"/>
              <w:spacing w:before="0" w:after="240"/>
              <w:ind w:left="0" w:right="0" w:hanging="0"/>
              <w:jc w:val="left"/>
              <w:rPr>
                <w:rFonts w:ascii="Times New Roman Bold" w:hAnsi="Times New Roman Bold"/>
                <w:b/>
                <w:caps/>
                <w:sz w:val="24"/>
              </w:rPr>
            </w:pPr>
            <w:r>
              <w:rPr>
                <w:rFonts w:ascii="Times New Roman Bold" w:hAnsi="Times New Roman Bold"/>
                <w:b/>
                <w:caps/>
                <w:sz w:val="24"/>
              </w:rPr>
              <w:t>FrIedricH-Reinhard Graf Finck von Finckenstein, M.D.</w:t>
            </w:r>
          </w:p>
          <w:p>
            <w:pPr>
              <w:pStyle w:val="TableContents"/>
              <w:bidi w:val="0"/>
              <w:spacing w:before="0" w:after="240"/>
              <w:ind w:left="0" w:right="0" w:hanging="0"/>
              <w:jc w:val="left"/>
              <w:rPr/>
            </w:pPr>
            <w:r>
              <w:rPr/>
              <w:t>​</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u w:val="single"/>
              </w:rPr>
              <w:t>/s/ Friedrich Graf Finckenstein​ ​</w:t>
            </w:r>
            <w:r>
              <w:rPr>
                <w:rFonts w:ascii="Times New Roman;Times;serif" w:hAnsi="Times New Roman;Times;serif"/>
                <w:sz w:val="24"/>
              </w:rPr>
              <w:br/>
              <w:t>Authorized Signature</w:t>
            </w:r>
          </w:p>
          <w:p>
            <w:pPr>
              <w:pStyle w:val="TableContents"/>
              <w:bidi w:val="0"/>
              <w:spacing w:before="0" w:after="240"/>
              <w:ind w:left="0" w:right="0" w:hanging="0"/>
              <w:jc w:val="left"/>
              <w:rPr/>
            </w:pPr>
            <w:r>
              <w:rPr/>
              <w:t>​</w:t>
            </w:r>
            <w:r>
              <w:rPr>
                <w:rFonts w:ascii="Times New Roman;Times;serif" w:hAnsi="Times New Roman;Times;serif"/>
                <w:sz w:val="24"/>
              </w:rPr>
              <w:b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This Agreement is to be executed in duplicate.</w:t>
        <w:br/>
        <w:t>Please return one fully executed copy to Iovance at the address set forth in Section 7.1.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r>
        <w:rPr>
          <w:rFonts w:ascii="Times New Roman;Times;serif" w:hAnsi="Times New Roman;Times;serif"/>
          <w:b/>
          <w:sz w:val="24"/>
        </w:rPr>
        <w:br/>
        <w:t>​​</w:t>
      </w:r>
    </w:p>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center"/>
        <w:rPr>
          <w:rFonts w:ascii="Times New Roman;Times;serif" w:hAnsi="Times New Roman;Times;serif"/>
          <w:b/>
          <w:i/>
          <w:sz w:val="24"/>
        </w:rPr>
      </w:pPr>
      <w:r>
        <w:rPr>
          <w:rFonts w:ascii="Times New Roman;Times;serif" w:hAnsi="Times New Roman;Times;serif"/>
          <w:b/>
          <w:i/>
          <w:sz w:val="24"/>
        </w:rPr>
        <w:t>Signature Page to Consulting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4"/>
        </w:rPr>
      </w:pPr>
      <w:bookmarkStart w:id="1816" w:name="_Hlk147919338"/>
      <w:bookmarkEnd w:id="1816"/>
      <w:r>
        <w:rPr>
          <w:rFonts w:ascii="Times New Roman;Times;serif" w:hAnsi="Times New Roman;Times;serif"/>
          <w:b/>
          <w:sz w:val="24"/>
        </w:rPr>
        <w:t>SCHEDULE 1</w:t>
        <w:b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Services</w:t>
      </w:r>
    </w:p>
    <w:p>
      <w:pPr>
        <w:pStyle w:val="TextBody"/>
        <w:bidi w:val="0"/>
        <w:spacing w:before="100" w:after="100"/>
        <w:ind w:left="0" w:right="0" w:hanging="0"/>
        <w:jc w:val="left"/>
        <w:rPr>
          <w:rFonts w:ascii="Times New Roman;Times;serif" w:hAnsi="Times New Roman;Times;serif"/>
          <w:sz w:val="24"/>
        </w:rPr>
      </w:pPr>
      <w:r>
        <w:rPr>
          <w:rFonts w:ascii="Times New Roman;Times;serif" w:hAnsi="Times New Roman;Times;serif"/>
          <w:sz w:val="24"/>
        </w:rPr>
        <w:t>Iovance’s Chief Executive Officer (“</w:t>
      </w:r>
      <w:r>
        <w:rPr>
          <w:rFonts w:ascii="Times New Roman;Times;serif" w:hAnsi="Times New Roman;Times;serif"/>
          <w:sz w:val="24"/>
          <w:u w:val="single"/>
        </w:rPr>
        <w:t>CEO</w:t>
      </w:r>
      <w:r>
        <w:rPr>
          <w:rFonts w:ascii="Times New Roman;Times;serif" w:hAnsi="Times New Roman;Times;serif"/>
          <w:sz w:val="24"/>
        </w:rPr>
        <w:t xml:space="preserve">”) shall define Consultant’s scope of Services. </w:t>
      </w:r>
    </w:p>
    <w:p>
      <w:pPr>
        <w:pStyle w:val="TextBody"/>
        <w:bidi w:val="0"/>
        <w:spacing w:before="100" w:after="100"/>
        <w:ind w:left="0" w:right="0" w:hanging="0"/>
        <w:jc w:val="left"/>
        <w:rPr>
          <w:rFonts w:ascii="Times New Roman;Times;serif" w:hAnsi="Times New Roman;Times;serif"/>
          <w:sz w:val="24"/>
        </w:rPr>
      </w:pPr>
      <w:r>
        <w:rPr>
          <w:rFonts w:ascii="Times New Roman;Times;serif" w:hAnsi="Times New Roman;Times;serif"/>
          <w:sz w:val="24"/>
        </w:rPr>
        <w:t>As requested by Iovance on a case-by-case basis, Consultant shall perform tasks which may include but are not limited to:</w:t>
      </w:r>
    </w:p>
    <w:tbl>
      <w:tblPr>
        <w:tblW w:w="6693" w:type="dxa"/>
        <w:jc w:val="left"/>
        <w:tblInd w:w="0" w:type="dxa"/>
        <w:tblLayout w:type="fixed"/>
        <w:tblCellMar>
          <w:top w:w="0" w:type="dxa"/>
          <w:left w:w="0" w:type="dxa"/>
          <w:bottom w:w="0" w:type="dxa"/>
          <w:right w:w="0" w:type="dxa"/>
        </w:tblCellMar>
      </w:tblPr>
      <w:tblGrid>
        <w:gridCol w:w="23"/>
        <w:gridCol w:w="95"/>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Projects that may be activated and approved in advance by the CEO. </w:t>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rFonts w:ascii="Times New Roman;Times;serif" w:hAnsi="Times New Roman;Times;serif"/>
          <w:sz w:val="24"/>
        </w:rPr>
      </w:pPr>
      <w:r>
        <w:rPr>
          <w:rFonts w:ascii="Times New Roman;Times;serif" w:hAnsi="Times New Roman;Times;serif"/>
          <w:sz w:val="24"/>
        </w:rPr>
        <w:t>Consultant shall operate independently and interact only with Iovance’s CEO when performing Services, unless otherwise requested in writing by the CEO. Consultant shall not supervise, utilize, or instruct any Iovance employees in connection with the Services.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17" w:name="iova-20260630xex31d1.htm"/>
      <w:bookmarkStart w:id="1818" w:name="ksiova20260630xex31d1"/>
      <w:bookmarkEnd w:id="1817"/>
      <w:bookmarkEnd w:id="1818"/>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firstLine="720"/>
        <w:jc w:val="left"/>
        <w:rPr/>
      </w:pPr>
      <w:r>
        <w:rPr/>
        <w:t>​</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I, Frederick G. Vogt, PhD., J.D, Interim Chief Executive Officer and President, and General Counsel of Iovance Biotherapeutics, Inc., certify that:</w:t>
      </w:r>
    </w:p>
    <w:p>
      <w:pPr>
        <w:pStyle w:val="TextBody"/>
        <w:bidi w:val="0"/>
        <w:spacing w:before="0" w:after="0"/>
        <w:ind w:left="0" w:right="0" w:firstLine="720"/>
        <w:jc w:val="both"/>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Iovance Biotherapeutics, Inc.;</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10205" w:type="dxa"/>
        <w:jc w:val="center"/>
        <w:tblInd w:w="0" w:type="dxa"/>
        <w:tblLayout w:type="fixed"/>
        <w:tblCellMar>
          <w:top w:w="0" w:type="dxa"/>
          <w:left w:w="0" w:type="dxa"/>
          <w:bottom w:w="0" w:type="dxa"/>
          <w:right w:w="0" w:type="dxa"/>
        </w:tblCellMar>
      </w:tblPr>
      <w:tblGrid>
        <w:gridCol w:w="1928"/>
        <w:gridCol w:w="404"/>
        <w:gridCol w:w="7873"/>
      </w:tblGrid>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pPr>
            <w:r>
              <w:rPr/>
              <w:t>​</w:t>
            </w:r>
          </w:p>
        </w:tc>
      </w:tr>
      <w:tr>
        <w:trPr/>
        <w:tc>
          <w:tcPr>
            <w:tcW w:w="19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19" w:name="iova-20260630xex31d2.htm"/>
      <w:bookmarkStart w:id="1820" w:name="ksiova20260630xex31d2"/>
      <w:bookmarkEnd w:id="1819"/>
      <w:bookmarkEnd w:id="1820"/>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 Corleen Roche, Chief Financial Officer of Iovance Biotherapeutics, Inc., certify that:</w:t>
      </w:r>
    </w:p>
    <w:p>
      <w:pPr>
        <w:pStyle w:val="TextBody"/>
        <w:bidi w:val="0"/>
        <w:spacing w:before="0" w:after="0"/>
        <w:ind w:left="0" w:right="0" w:firstLine="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 xml:space="preserve">1.            I have reviewed this Quarterly Report on Form 10-Q of Iovance Biotherapeutics, Inc.; </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bidi w:val="0"/>
        <w:spacing w:before="0" w:after="0"/>
        <w:ind w:left="0" w:right="0" w:hanging="72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Times New Roman;Times;serif" w:hAnsi="Times New Roman;Times;serif"/>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720" w:right="0" w:hanging="720"/>
        <w:jc w:val="left"/>
        <w:rPr/>
      </w:pPr>
      <w:r>
        <w:rPr/>
        <w:t>​</w:t>
      </w:r>
    </w:p>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7503" w:type="dxa"/>
        <w:jc w:val="center"/>
        <w:tblInd w:w="0" w:type="dxa"/>
        <w:tblLayout w:type="fixed"/>
        <w:tblCellMar>
          <w:top w:w="0" w:type="dxa"/>
          <w:left w:w="0" w:type="dxa"/>
          <w:bottom w:w="0" w:type="dxa"/>
          <w:right w:w="0" w:type="dxa"/>
        </w:tblCellMar>
      </w:tblPr>
      <w:tblGrid>
        <w:gridCol w:w="1951"/>
        <w:gridCol w:w="406"/>
        <w:gridCol w:w="514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Corleen Roche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Corleen Roche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br/>
              <w:t>(Principal Financial Officer and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21" w:name="iova-20260630xex32d1.htm"/>
      <w:bookmarkStart w:id="1822" w:name="ksiova20260630xex32d1"/>
      <w:bookmarkEnd w:id="1821"/>
      <w:bookmarkEnd w:id="1822"/>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Iovance Biotherapeutics, Inc. (the “Company”) for the quarter ended June 30, 2026,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t>​</w:t>
      </w:r>
    </w:p>
    <w:tbl>
      <w:tblPr>
        <w:tblW w:w="10205" w:type="dxa"/>
        <w:jc w:val="center"/>
        <w:tblInd w:w="0" w:type="dxa"/>
        <w:tblLayout w:type="fixed"/>
        <w:tblCellMar>
          <w:top w:w="0" w:type="dxa"/>
          <w:left w:w="0" w:type="dxa"/>
          <w:bottom w:w="0" w:type="dxa"/>
          <w:right w:w="0" w:type="dxa"/>
        </w:tblCellMar>
      </w:tblPr>
      <w:tblGrid>
        <w:gridCol w:w="1928"/>
        <w:gridCol w:w="404"/>
        <w:gridCol w:w="7873"/>
      </w:tblGrid>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pPr>
            <w:r>
              <w:rPr/>
              <w:t>​</w:t>
            </w:r>
          </w:p>
        </w:tc>
      </w:tr>
      <w:tr>
        <w:trPr/>
        <w:tc>
          <w:tcPr>
            <w:tcW w:w="19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8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1928"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78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823" w:name="iova-20260630xex32d2.htm"/>
      <w:bookmarkStart w:id="1824" w:name="ksiova20260630xex32d2"/>
      <w:bookmarkEnd w:id="1823"/>
      <w:bookmarkEnd w:id="1824"/>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Iovance Biotherapeutics, Inc. (the “Company”) for the quarter ended June 30, 2026, as filed with the Securities and Exchange Commission on the date hereof (the “Report”), Corleen Roche, Chief Financial Officer, hereby certifies, pursuant to 18 U.S.C. §1350, as adopted pursuant to §906 of the Sarbanes-Oxley Act of 2002, that:</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t>​</w:t>
      </w:r>
    </w:p>
    <w:tbl>
      <w:tblPr>
        <w:tblW w:w="9408" w:type="dxa"/>
        <w:jc w:val="center"/>
        <w:tblInd w:w="0" w:type="dxa"/>
        <w:tblLayout w:type="fixed"/>
        <w:tblCellMar>
          <w:top w:w="0" w:type="dxa"/>
          <w:left w:w="0" w:type="dxa"/>
          <w:bottom w:w="0" w:type="dxa"/>
          <w:right w:w="0" w:type="dxa"/>
        </w:tblCellMar>
      </w:tblPr>
      <w:tblGrid>
        <w:gridCol w:w="1951"/>
        <w:gridCol w:w="406"/>
        <w:gridCol w:w="705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05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Corleen Roche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0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Corleen Roche</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Narrow">
    <w:charset w:val="01"/>
    <w:family w:val="auto"/>
    <w:pitch w:val="default"/>
  </w:font>
  <w:font w:name="Arial">
    <w:altName w:val="Helvetica"/>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5205/000110465926075778/iova-20260618xex3d1.htm" TargetMode="External"/><Relationship Id="rId3" Type="http://schemas.openxmlformats.org/officeDocument/2006/relationships/hyperlink" Target="https://www.sec.gov/Archives/edgar/data/1425205/000110465924041200/tm2410183d1_ex3-1.htm" TargetMode="External"/><Relationship Id="rId4" Type="http://schemas.openxmlformats.org/officeDocument/2006/relationships/hyperlink" Target="https://www.sec.gov/Archives/edgar/data/1425205/000110465926075832/tm2618119d2_ex99-1.htm" TargetMode="External"/><Relationship Id="rId5" Type="http://schemas.openxmlformats.org/officeDocument/2006/relationships/hyperlink" Target="https://www.sec.gov/Archives/edgar/data/1425205/000110465926075831/tm2618119d1_ex99-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88241</Words>
  <Characters>495526</Characters>
  <CharactersWithSpaces>585278</CharactersWithSpaces>
  <Paragraphs>8076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