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4657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657090"/>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Maynard Ryan D</w:t>
              </w:r>
            </w:hyperlink>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IOVANCE BIOTHERAPEUTICS, INC. </w:t>
              </w:r>
            </w:hyperlink>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334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17"/>
                <w:szCs w:val="17"/>
                <w:color w:val="0000FF"/>
              </w:rPr>
              <w:t xml:space="preserve">IOVA </w:t>
            </w:r>
            <w:r>
              <w:rPr>
                <w:rFonts w:ascii="Times New Roman" w:cs="Times New Roman" w:eastAsia="Times New Roman" w:hAnsi="Times New Roman"/>
                <w:sz w:val="20"/>
                <w:szCs w:val="20"/>
                <w:color w:val="000000"/>
              </w:rPr>
              <w:t>]</w:t>
            </w:r>
          </w:p>
        </w:tc>
        <w:tc>
          <w:tcPr>
            <w:tcW w:w="4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640" w:type="dxa"/>
            <w:vAlign w:val="bottom"/>
            <w:tcBorders>
              <w:top w:val="single" w:sz="8" w:color="0000EE"/>
              <w:bottom w:val="single" w:sz="8" w:color="9A9A9A"/>
            </w:tcBorders>
          </w:tcPr>
          <w:p>
            <w:pPr>
              <w:spacing w:after="0"/>
              <w:rPr>
                <w:sz w:val="14"/>
                <w:szCs w:val="14"/>
                <w:color w:val="auto"/>
              </w:rPr>
            </w:pPr>
          </w:p>
        </w:tc>
        <w:tc>
          <w:tcPr>
            <w:tcW w:w="1020" w:type="dxa"/>
            <w:vAlign w:val="bottom"/>
            <w:tcBorders>
              <w:bottom w:val="single" w:sz="8" w:color="9A9A9A"/>
            </w:tcBorders>
          </w:tcPr>
          <w:p>
            <w:pPr>
              <w:spacing w:after="0"/>
              <w:rPr>
                <w:sz w:val="14"/>
                <w:szCs w:val="14"/>
                <w:color w:val="auto"/>
              </w:rPr>
            </w:pPr>
          </w:p>
        </w:tc>
        <w:tc>
          <w:tcPr>
            <w:tcW w:w="11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vMerge w:val="continue"/>
          </w:tcPr>
          <w:p>
            <w:pPr>
              <w:spacing w:after="0"/>
              <w:rPr>
                <w:sz w:val="14"/>
                <w:szCs w:val="14"/>
                <w:color w:val="auto"/>
              </w:rPr>
            </w:pPr>
          </w:p>
        </w:tc>
        <w:tc>
          <w:tcPr>
            <w:tcW w:w="3340" w:type="dxa"/>
            <w:vAlign w:val="bottom"/>
            <w:tcBorders>
              <w:top w:val="single" w:sz="8" w:color="0000EE"/>
            </w:tcBorders>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18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334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660" w:type="dxa"/>
            <w:vAlign w:val="bottom"/>
            <w:gridSpan w:val="2"/>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4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IOVANCE BIOTHERAPEUTICS, INC.</w:t>
            </w:r>
          </w:p>
        </w:tc>
        <w:tc>
          <w:tcPr>
            <w:tcW w:w="100" w:type="dxa"/>
            <w:vAlign w:val="bottom"/>
          </w:tcPr>
          <w:p>
            <w:pPr>
              <w:spacing w:after="0"/>
              <w:rPr>
                <w:sz w:val="8"/>
                <w:szCs w:val="8"/>
                <w:color w:val="auto"/>
              </w:rPr>
            </w:pPr>
          </w:p>
        </w:tc>
        <w:tc>
          <w:tcPr>
            <w:tcW w:w="3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40" w:type="dxa"/>
            <w:vAlign w:val="bottom"/>
            <w:gridSpan w:val="5"/>
            <w:vMerge w:val="continue"/>
          </w:tcPr>
          <w:p>
            <w:pPr>
              <w:spacing w:after="0"/>
              <w:rPr>
                <w:sz w:val="18"/>
                <w:szCs w:val="18"/>
                <w:color w:val="auto"/>
              </w:rPr>
            </w:pPr>
          </w:p>
        </w:tc>
        <w:tc>
          <w:tcPr>
            <w:tcW w:w="35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06/16/2026</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825 INDUSTRIAL ROAD, SUITE 100</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0"/>
          <w:szCs w:val="20"/>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0"/>
          <w:szCs w:val="20"/>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75" w:lineRule="exact"/>
        <w:rPr>
          <w:sz w:val="20"/>
          <w:szCs w:val="20"/>
          <w:color w:val="auto"/>
        </w:rPr>
      </w:pPr>
    </w:p>
    <w:p>
      <w:pPr>
        <w:sectPr>
          <w:pgSz w:w="11900" w:h="16838" w:orient="portrait"/>
          <w:cols w:equalWidth="0" w:num="2">
            <w:col w:w="7660" w:space="63"/>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700" w:type="dxa"/>
            <w:vAlign w:val="bottom"/>
            <w:gridSpan w:val="8"/>
          </w:tcPr>
          <w:p>
            <w:pPr>
              <w:jc w:val="center"/>
              <w:ind w:right="41"/>
              <w:spacing w:after="0" w:line="135" w:lineRule="exact"/>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tcPr>
          <w:p>
            <w:pPr>
              <w:ind w:left="280"/>
              <w:spacing w:after="0" w:line="135"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SAN CARLOS  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94070</w:t>
            </w: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96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vMerge w:val="restart"/>
          </w:tcPr>
          <w:p>
            <w:pPr>
              <w:spacing w:after="0"/>
              <w:rPr>
                <w:sz w:val="7"/>
                <w:szCs w:val="7"/>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1820" w:type="dxa"/>
            <w:vAlign w:val="bottom"/>
            <w:gridSpan w:val="2"/>
            <w:vMerge w:val="continue"/>
          </w:tcPr>
          <w:p>
            <w:pPr>
              <w:spacing w:after="0"/>
              <w:rPr>
                <w:sz w:val="20"/>
                <w:szCs w:val="20"/>
                <w:color w:val="auto"/>
              </w:rPr>
            </w:pPr>
          </w:p>
        </w:tc>
        <w:tc>
          <w:tcPr>
            <w:tcW w:w="11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4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90,316</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continue"/>
          </w:tcPr>
          <w:p>
            <w:pPr>
              <w:spacing w:after="0"/>
              <w:rPr>
                <w:sz w:val="11"/>
                <w:szCs w:val="11"/>
                <w:color w:val="auto"/>
              </w:rPr>
            </w:pPr>
          </w:p>
        </w:tc>
        <w:tc>
          <w:tcPr>
            <w:tcW w:w="1040" w:type="dxa"/>
            <w:vAlign w:val="bottom"/>
          </w:tcPr>
          <w:p>
            <w:pPr>
              <w:ind w:left="260"/>
              <w:spacing w:after="0" w:line="129" w:lineRule="exact"/>
              <w:rPr>
                <w:sz w:val="20"/>
                <w:szCs w:val="20"/>
                <w:color w:val="auto"/>
              </w:rPr>
            </w:pPr>
            <w:r>
              <w:rPr>
                <w:rFonts w:ascii="Times New Roman" w:cs="Times New Roman" w:eastAsia="Times New Roman" w:hAnsi="Times New Roman"/>
                <w:sz w:val="13"/>
                <w:szCs w:val="13"/>
                <w:color w:val="0000FF"/>
              </w:rPr>
              <w:t>06/16/2026</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90,316</w:t>
            </w:r>
          </w:p>
        </w:tc>
        <w:tc>
          <w:tcPr>
            <w:tcW w:w="3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line="129" w:lineRule="exact"/>
              <w:rPr>
                <w:sz w:val="20"/>
                <w:szCs w:val="20"/>
                <w:color w:val="auto"/>
              </w:rPr>
            </w:pPr>
            <w:r>
              <w:rPr>
                <w:rFonts w:ascii="Times New Roman" w:cs="Times New Roman" w:eastAsia="Times New Roman" w:hAnsi="Times New Roman"/>
                <w:sz w:val="13"/>
                <w:szCs w:val="13"/>
                <w:color w:val="0000FF"/>
                <w:w w:val="94"/>
              </w:rPr>
              <w:t>90,316</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deferred restricted stock unit ("DRSU") represents a contingent right to receive one share of the Issuer's common stock and are granted pursuant to the Issuer's 2018 Equity Incentive Plan (as amended).</w:t>
      </w:r>
    </w:p>
    <w:p>
      <w:pPr>
        <w:spacing w:after="0" w:line="44" w:lineRule="exact"/>
        <w:rPr>
          <w:rFonts w:ascii="Times New Roman" w:cs="Times New Roman" w:eastAsia="Times New Roman" w:hAnsi="Times New Roman"/>
          <w:sz w:val="13"/>
          <w:szCs w:val="13"/>
          <w:color w:val="008000"/>
        </w:rPr>
      </w:pPr>
    </w:p>
    <w:p>
      <w:pPr>
        <w:ind w:left="40" w:right="16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Provided the Reporting Person continues to be providing service to the Issuer on the following dates, the DRSUs shall vest on the earlier of: (i) the first anniversary of the Transaction Date; or (ii) the day prior to the Issuer's next annual shareholder meeting. Notwithstanding the vesting, the issuance of the common stock will be deferred until the earlier of (i) three months after the Reporting Person's resignation or removal from the Board of Directors or no longer providing service because of death or disability, (ii) a change in control (as defined in the DRSU agreement) or (iii) ten years from the Transaction Date.</w:t>
      </w:r>
    </w:p>
    <w:p>
      <w:pPr>
        <w:spacing w:after="0" w:line="36"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/s/ Ryan Maynard</w:t>
            </w:r>
          </w:p>
        </w:tc>
        <w:tc>
          <w:tcPr>
            <w:tcW w:w="100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06/18/2026</w:t>
            </w: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63984" TargetMode="External"/><Relationship Id="rId14" Type="http://schemas.openxmlformats.org/officeDocument/2006/relationships/hyperlink" Target="http://www.sec.gov/cgi-bin/browse-edgar?action=getcompany&amp;CIK=00014252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2026-06-18T16:29:04Z</dcterms:created>
  <dcterms:modified xsi:type="dcterms:W3CDTF">2026-06-18T16:29:04Z</dcterms:modified>
</cp:coreProperties>
</file>