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Puri Raj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IOVANCE BIOTHERAPEUTICS,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825 INDUSTRIAL ROAD, SUITE 100</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94070</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3"/>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IOVANCE BIOTHERAPEUTICS,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3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IOVA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3820" w:type="dxa"/>
            <w:vAlign w:val="bottom"/>
            <w:gridSpan w:val="3"/>
            <w:vMerge w:val="continue"/>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00"/>
              <w:spacing w:after="0" w:line="181" w:lineRule="exact"/>
              <w:rPr>
                <w:sz w:val="20"/>
                <w:szCs w:val="20"/>
                <w:color w:val="auto"/>
              </w:rPr>
            </w:pPr>
            <w:r>
              <w:rPr>
                <w:rFonts w:ascii="Times New Roman" w:cs="Times New Roman" w:eastAsia="Times New Roman" w:hAnsi="Times New Roman"/>
                <w:sz w:val="17"/>
                <w:szCs w:val="17"/>
                <w:color w:val="0000FF"/>
              </w:rPr>
              <w:t>Chief Regulatory Officer</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3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15,000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15,000</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15,000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is still employed with the Issuer on the following dates, the RSUs shall vest over three years, with (i) one-third of the RSUs vesting on the one-year anniversary of the date of grant and (ii) the remaining RSUs shall vest in eight equal quarterly installments over the next two years, commencing with the first quarter following the first anniversary of the date of grant.</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Raj K. Puri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0"/>
        </w:trPr>
        <w:tc>
          <w:tcPr>
            <w:tcW w:w="9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6483" TargetMode="External"/><Relationship Id="rId14" Type="http://schemas.openxmlformats.org/officeDocument/2006/relationships/hyperlink" Target="http://www.sec.gov/cgi-bin/browse-edgar?action=getcompany&amp;CIK=0001425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2026-06-18T16:28:56Z</dcterms:created>
  <dcterms:modified xsi:type="dcterms:W3CDTF">2026-06-18T16:28:56Z</dcterms:modified>
</cp:coreProperties>
</file>