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8119d2_s8.htm"/>
      <w:bookmarkStart w:id="1" w:name="kstm2618119d2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2705"/>
        <w:gridCol w:w="60"/>
        <w:gridCol w:w="2780"/>
      </w:tblGrid>
      <w:tr>
        <w:trPr/>
        <w:tc>
          <w:tcPr>
            <w:tcW w:w="2705"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b/>
                <w:sz w:val="20"/>
              </w:rPr>
            </w:pPr>
            <w:r>
              <w:rPr>
                <w:b/>
                <w:sz w:val="20"/>
              </w:rPr>
              <w:t>75-3254381</w:t>
            </w:r>
          </w:p>
        </w:tc>
      </w:tr>
      <w:tr>
        <w:trPr/>
        <w:tc>
          <w:tcPr>
            <w:tcW w:w="2705" w:type="dxa"/>
            <w:tcBorders/>
            <w:vAlign w:val="center"/>
          </w:tcPr>
          <w:p>
            <w:pPr>
              <w:pStyle w:val="TableContents"/>
              <w:bidi w:val="0"/>
              <w:spacing w:before="0" w:after="283"/>
              <w:jc w:val="center"/>
              <w:rPr>
                <w:sz w:val="20"/>
              </w:rPr>
            </w:pPr>
            <w:r>
              <w:rPr>
                <w:sz w:val="20"/>
              </w:rPr>
              <w:t>(State or other jurisdiction</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r>
        <w:trPr/>
        <w:tc>
          <w:tcPr>
            <w:tcW w:w="2705" w:type="dxa"/>
            <w:tcBorders/>
            <w:vAlign w:val="center"/>
          </w:tcPr>
          <w:p>
            <w:pPr>
              <w:pStyle w:val="TableContents"/>
              <w:bidi w:val="0"/>
              <w:spacing w:before="0" w:after="283"/>
              <w:jc w:val="center"/>
              <w:rPr>
                <w:sz w:val="20"/>
              </w:rPr>
            </w:pPr>
            <w:r>
              <w:rPr>
                <w:sz w:val="20"/>
              </w:rPr>
              <w:t>of incorporation or organization)</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 Industrial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Carlos, California 94070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Iovance Biotherapeutics, Inc. 2020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Frederick G. Vogt, Ph.D., J.D.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Chief Executive Officer and President, and General Counsel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Iovance Biotherapeutics,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 Industrial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Carlos, California 94070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260-7120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Emilio Ragosa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John F. Kennedy Parkway, Suite 120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Hills, New Jersey 07078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(973) 520-2550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780"/>
        <w:gridCol w:w="60"/>
        <w:gridCol w:w="2465"/>
      </w:tblGrid>
      <w:tr>
        <w:trPr/>
        <w:tc>
          <w:tcPr>
            <w:tcW w:w="2780" w:type="dxa"/>
            <w:tcBorders/>
            <w:vAlign w:val="center"/>
          </w:tcPr>
          <w:p>
            <w:pPr>
              <w:pStyle w:val="TableContents"/>
              <w:bidi w:val="0"/>
              <w:spacing w:before="0" w:after="283"/>
              <w:ind w:left="0" w:right="0" w:firstLine="720"/>
              <w:jc w:val="left"/>
              <w:rPr>
                <w:sz w:val="20"/>
              </w:rPr>
            </w:pPr>
            <w:r>
              <w:rPr>
                <w:sz w:val="20"/>
              </w:rPr>
              <w:t>Large 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ind w:left="0" w:right="0" w:firstLine="720"/>
              <w:jc w:val="left"/>
              <w:rPr>
                <w:sz w:val="20"/>
              </w:rPr>
            </w:pPr>
            <w:r>
              <w:rPr>
                <w:sz w:val="20"/>
              </w:rPr>
              <w:t>Accelerated filer ☒</w:t>
            </w:r>
          </w:p>
        </w:tc>
      </w:tr>
      <w:tr>
        <w:trPr/>
        <w:tc>
          <w:tcPr>
            <w:tcW w:w="2780" w:type="dxa"/>
            <w:tcBorders/>
            <w:vAlign w:val="center"/>
          </w:tcPr>
          <w:p>
            <w:pPr>
              <w:pStyle w:val="TableContents"/>
              <w:bidi w:val="0"/>
              <w:spacing w:before="0" w:after="283"/>
              <w:jc w:val="left"/>
              <w:rPr>
                <w:sz w:val="20"/>
              </w:rPr>
            </w:pPr>
            <w:r>
              <w:rPr>
                <w:sz w:val="20"/>
              </w:rPr>
              <w:t>Non-accelerated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Smaller reporting company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This Registration Statement relates to the registration of an additional 1,000,000 shares (the “Shares”) of Iovance Biotherapeutics, Inc.’s (the “Registrant”) common stock, $0.000041666 par value per share. The Shares are of the same class and relate to the same employee benefit plan, the 2020 Employee Stock Purchase Plan, which was amended on June 10, 2026 (in the form attached hereto as </w:t>
      </w:r>
      <w:hyperlink w:anchor="tm2618119d2_ex99-1.htm">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 “ESPP”), as those registered pursuant to the Registrant’s registration statement on Form S-8, previously filed with the U.S. Securities and Exchange Commission (the “Commission”) on </w:t>
      </w:r>
      <w:hyperlink r:id="rId2">
        <w:r>
          <w:rPr>
            <w:rStyle w:val="InternetLink"/>
            <w:rFonts w:ascii="Times New Roman;Times;Serif" w:hAnsi="Times New Roman;Times;Serif"/>
            <w:b w:val="false"/>
            <w:i w:val="false"/>
            <w:caps w:val="false"/>
            <w:smallCaps w:val="false"/>
            <w:sz w:val="20"/>
          </w:rPr>
          <w:t>June 19, 2020 (Registration No. 333-239317)</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June 12, 2023 (Registration No. 333-272602)</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August 9, 2024 (Registration No. 333-281413)</w:t>
        </w:r>
      </w:hyperlink>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 xml:space="preserve">and </w:t>
      </w:r>
      <w:hyperlink r:id="rId5">
        <w:r>
          <w:rPr>
            <w:rStyle w:val="InternetLink"/>
            <w:rFonts w:ascii="Times New Roman;Times;Serif" w:hAnsi="Times New Roman;Times;Serif"/>
            <w:b w:val="false"/>
            <w:i w:val="false"/>
            <w:caps w:val="false"/>
            <w:smallCaps w:val="false"/>
            <w:sz w:val="20"/>
          </w:rPr>
          <w:t>November 12, 2025 (Registration No. 333-291475)</w:t>
        </w:r>
      </w:hyperlink>
      <w:r>
        <w:rPr>
          <w:rFonts w:ascii="Times New Roman;Times;Serif" w:hAnsi="Times New Roman;Times;Serif"/>
          <w:b w:val="false"/>
          <w:i w:val="false"/>
          <w:caps w:val="false"/>
          <w:smallCaps w:val="false"/>
          <w:sz w:val="20"/>
        </w:rPr>
        <w:t xml:space="preserve">. In accordance with General Instruction E of Form S-8, the contents of the Registrant’s registration statements on Form S-8 filed with the Commission on </w:t>
      </w:r>
      <w:hyperlink r:id="rId6">
        <w:r>
          <w:rPr>
            <w:rStyle w:val="InternetLink"/>
            <w:rFonts w:ascii="Times New Roman;Times;Serif" w:hAnsi="Times New Roman;Times;Serif"/>
            <w:b w:val="false"/>
            <w:i w:val="false"/>
            <w:caps w:val="false"/>
            <w:smallCaps w:val="false"/>
            <w:sz w:val="20"/>
          </w:rPr>
          <w:t>June 19, 2020 (Registration No. 333-239317)</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12, 2023 (Registration No. 333-272602)</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August 9, 2024 (Registration No. 333-281413)</w:t>
        </w:r>
      </w:hyperlink>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 xml:space="preserve">and </w:t>
      </w:r>
      <w:hyperlink r:id="rId9">
        <w:r>
          <w:rPr>
            <w:rStyle w:val="InternetLink"/>
            <w:rFonts w:ascii="Times New Roman;Times;Serif" w:hAnsi="Times New Roman;Times;Serif"/>
            <w:b w:val="false"/>
            <w:i w:val="false"/>
            <w:caps w:val="false"/>
            <w:smallCaps w:val="false"/>
            <w:sz w:val="20"/>
          </w:rPr>
          <w:t>November 12, 2025 (Registration No. 333-291475)</w:t>
        </w:r>
      </w:hyperlink>
      <w:r>
        <w:rPr>
          <w:rFonts w:ascii="Times New Roman;Times;Serif" w:hAnsi="Times New Roman;Times;Serif"/>
          <w:b w:val="false"/>
          <w:i w:val="false"/>
          <w:caps w:val="false"/>
          <w:smallCaps w:val="false"/>
          <w:sz w:val="20"/>
        </w:rPr>
        <w:t xml:space="preserve"> are incorporated herein by reference (solely to the extent the contents of such registration statement relate to the ESPP), and the information required by Part II is omitted, except as supplemented by the information set forth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9"/>
        <w:gridCol w:w="60"/>
        <w:gridCol w:w="9456"/>
      </w:tblGrid>
      <w:tr>
        <w:trPr/>
        <w:tc>
          <w:tcPr>
            <w:tcW w:w="689"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Exhibit </w:t>
              <w:br/>
              <w:t>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bottom w:val="single" w:sz="8"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689" w:type="dxa"/>
            <w:tcBorders/>
            <w:shd w:fill="FFFFFF" w:val="clear"/>
            <w:tcMar>
              <w:bottom w:w="0" w:type="dxa"/>
            </w:tcMar>
            <w:vAlign w:val="center"/>
          </w:tcPr>
          <w:p>
            <w:pPr>
              <w:pStyle w:val="TableContents"/>
              <w:bidi w:val="0"/>
              <w:spacing w:before="0" w:after="283"/>
              <w:jc w:val="center"/>
              <w:rPr/>
            </w:pPr>
            <w:hyperlink r:id="rId10">
              <w:r>
                <w:rPr>
                  <w:rStyle w:val="InternetLink"/>
                  <w:sz w:val="20"/>
                </w:rPr>
                <w:t>4.1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r:id="rId11">
              <w:r>
                <w:rPr>
                  <w:rStyle w:val="InternetLink"/>
                  <w:sz w:val="20"/>
                </w:rPr>
                <w:t>Certificate of Incorporation, as amended, of the Registrant (incorporated herein by reference to Exhibit 3.1 to the Registrant’s Form S-3 filed with the Commission on June 18, 2026).</w:t>
              </w:r>
            </w:hyperlink>
          </w:p>
        </w:tc>
      </w:tr>
      <w:tr>
        <w:trPr/>
        <w:tc>
          <w:tcPr>
            <w:tcW w:w="689" w:type="dxa"/>
            <w:tcBorders/>
            <w:shd w:fill="FFFFFF" w:val="clear"/>
            <w:tcMar>
              <w:bottom w:w="0" w:type="dxa"/>
            </w:tcMar>
            <w:vAlign w:val="center"/>
          </w:tcPr>
          <w:p>
            <w:pPr>
              <w:pStyle w:val="TableContents"/>
              <w:bidi w:val="0"/>
              <w:spacing w:before="0" w:after="283"/>
              <w:jc w:val="center"/>
              <w:rPr/>
            </w:pPr>
            <w:hyperlink r:id="rId12">
              <w:r>
                <w:rPr>
                  <w:rStyle w:val="InternetLink"/>
                  <w:sz w:val="20"/>
                </w:rPr>
                <w:t>4.2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r:id="rId13">
              <w:r>
                <w:rPr>
                  <w:rStyle w:val="InternetLink"/>
                  <w:sz w:val="20"/>
                </w:rPr>
                <w:t>Fourth Amended and Restated Bylaws of the Registrant (incorporated herein by reference to Exhibit 3.1 to the Registrant’s Current Report on Form 8-K filed with the Commission on March 29, 2024).</w:t>
              </w:r>
            </w:hyperlink>
          </w:p>
        </w:tc>
      </w:tr>
      <w:tr>
        <w:trPr/>
        <w:tc>
          <w:tcPr>
            <w:tcW w:w="689" w:type="dxa"/>
            <w:tcBorders/>
            <w:shd w:fill="FFFFFF" w:val="clear"/>
            <w:tcMar>
              <w:bottom w:w="0" w:type="dxa"/>
            </w:tcMar>
            <w:vAlign w:val="center"/>
          </w:tcPr>
          <w:p>
            <w:pPr>
              <w:pStyle w:val="TableContents"/>
              <w:bidi w:val="0"/>
              <w:spacing w:before="0" w:after="283"/>
              <w:jc w:val="center"/>
              <w:rPr/>
            </w:pPr>
            <w:hyperlink r:id="rId14">
              <w:r>
                <w:rPr>
                  <w:rStyle w:val="InternetLink"/>
                  <w:sz w:val="20"/>
                </w:rPr>
                <w:t>4.3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r:id="rId15">
              <w:r>
                <w:rPr>
                  <w:rStyle w:val="InternetLink"/>
                  <w:sz w:val="20"/>
                </w:rPr>
                <w:t>Specimen of Stock Certificate (incorporated herein by reference to Exhibit 4.2 to the Registrant’s Annual Report on Form 10-K filed with the Commission on March 12, 2018).</w:t>
              </w:r>
            </w:hyperlink>
          </w:p>
        </w:tc>
      </w:tr>
      <w:tr>
        <w:trPr/>
        <w:tc>
          <w:tcPr>
            <w:tcW w:w="689" w:type="dxa"/>
            <w:tcBorders/>
            <w:shd w:fill="FFFFFF" w:val="clear"/>
            <w:tcMar>
              <w:bottom w:w="0" w:type="dxa"/>
            </w:tcMar>
            <w:vAlign w:val="center"/>
          </w:tcPr>
          <w:p>
            <w:pPr>
              <w:pStyle w:val="TableContents"/>
              <w:bidi w:val="0"/>
              <w:spacing w:before="0" w:after="283"/>
              <w:jc w:val="center"/>
              <w:rPr/>
            </w:pPr>
            <w:hyperlink w:anchor="tm2618119d2_ex5-1.htm">
              <w:r>
                <w:rPr>
                  <w:rStyle w:val="InternetLink"/>
                  <w:sz w:val="20"/>
                </w:rPr>
                <w:t>5.1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w:anchor="tm2618119d2_ex5-1.htm">
              <w:r>
                <w:rPr>
                  <w:rStyle w:val="InternetLink"/>
                  <w:sz w:val="20"/>
                </w:rPr>
                <w:t>Opinion of DLA Piper LLP (US) (filed herewith).</w:t>
              </w:r>
            </w:hyperlink>
          </w:p>
        </w:tc>
      </w:tr>
      <w:tr>
        <w:trPr/>
        <w:tc>
          <w:tcPr>
            <w:tcW w:w="689" w:type="dxa"/>
            <w:tcBorders/>
            <w:shd w:fill="FFFFFF" w:val="clear"/>
            <w:tcMar>
              <w:bottom w:w="0" w:type="dxa"/>
            </w:tcMar>
            <w:vAlign w:val="center"/>
          </w:tcPr>
          <w:p>
            <w:pPr>
              <w:pStyle w:val="TableContents"/>
              <w:bidi w:val="0"/>
              <w:spacing w:before="0" w:after="283"/>
              <w:jc w:val="center"/>
              <w:rPr/>
            </w:pPr>
            <w:hyperlink w:anchor="tm2618119d2_ex23-1.htm">
              <w:r>
                <w:rPr>
                  <w:rStyle w:val="InternetLink"/>
                  <w:sz w:val="20"/>
                </w:rPr>
                <w:t>23.1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w:anchor="tm2618119d2_ex23-1.htm">
              <w:r>
                <w:rPr>
                  <w:rStyle w:val="InternetLink"/>
                  <w:sz w:val="20"/>
                </w:rPr>
                <w:t>Consent of Independent Registered Public Accounting Firm (filed herewith).</w:t>
              </w:r>
            </w:hyperlink>
          </w:p>
        </w:tc>
      </w:tr>
      <w:tr>
        <w:trPr/>
        <w:tc>
          <w:tcPr>
            <w:tcW w:w="689" w:type="dxa"/>
            <w:tcBorders/>
            <w:shd w:fill="FFFFFF" w:val="clear"/>
            <w:tcMar>
              <w:bottom w:w="0" w:type="dxa"/>
            </w:tcMar>
            <w:vAlign w:val="center"/>
          </w:tcPr>
          <w:p>
            <w:pPr>
              <w:pStyle w:val="TableContents"/>
              <w:bidi w:val="0"/>
              <w:spacing w:before="0" w:after="283"/>
              <w:jc w:val="center"/>
              <w:rPr/>
            </w:pPr>
            <w:hyperlink w:anchor="tm2618119d2_ex5-1.htm">
              <w:r>
                <w:rPr>
                  <w:rStyle w:val="InternetLink"/>
                  <w:sz w:val="20"/>
                </w:rPr>
                <w:t>23.2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w:anchor="tm2618119d2_ex5-1.htm">
              <w:r>
                <w:rPr>
                  <w:rStyle w:val="InternetLink"/>
                  <w:sz w:val="20"/>
                </w:rPr>
                <w:t>Consent of DLA Piper LLP (US) (included in Exhibit 5.1).</w:t>
              </w:r>
            </w:hyperlink>
          </w:p>
        </w:tc>
      </w:tr>
      <w:tr>
        <w:trPr/>
        <w:tc>
          <w:tcPr>
            <w:tcW w:w="689" w:type="dxa"/>
            <w:tcBorders/>
            <w:shd w:fill="FFFFFF" w:val="clear"/>
            <w:tcMar>
              <w:bottom w:w="0" w:type="dxa"/>
            </w:tcMar>
            <w:vAlign w:val="center"/>
          </w:tcPr>
          <w:p>
            <w:pPr>
              <w:pStyle w:val="TableContents"/>
              <w:bidi w:val="0"/>
              <w:spacing w:before="0" w:after="283"/>
              <w:jc w:val="center"/>
              <w:rPr/>
            </w:pPr>
            <w:hyperlink w:anchor="s1_001">
              <w:r>
                <w:rPr>
                  <w:rStyle w:val="InternetLink"/>
                  <w:sz w:val="20"/>
                </w:rPr>
                <w:t>24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w:anchor="s1_001">
              <w:r>
                <w:rPr>
                  <w:rStyle w:val="InternetLink"/>
                  <w:sz w:val="20"/>
                </w:rPr>
                <w:t>Power of Attorney (contained on the signature page hereto).</w:t>
              </w:r>
            </w:hyperlink>
          </w:p>
        </w:tc>
      </w:tr>
      <w:tr>
        <w:trPr/>
        <w:tc>
          <w:tcPr>
            <w:tcW w:w="689" w:type="dxa"/>
            <w:tcBorders/>
            <w:shd w:fill="FFFFFF" w:val="clear"/>
            <w:tcMar>
              <w:bottom w:w="0" w:type="dxa"/>
            </w:tcMar>
            <w:vAlign w:val="center"/>
          </w:tcPr>
          <w:p>
            <w:pPr>
              <w:pStyle w:val="TableContents"/>
              <w:bidi w:val="0"/>
              <w:spacing w:before="0" w:after="283"/>
              <w:jc w:val="center"/>
              <w:rPr/>
            </w:pPr>
            <w:hyperlink w:anchor="tm2618119d2_ex99-1.htm">
              <w:r>
                <w:rPr>
                  <w:rStyle w:val="InternetLink"/>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w:anchor="tm2618119d2_ex99-1.htm">
              <w:r>
                <w:rPr>
                  <w:rStyle w:val="InternetLink"/>
                  <w:sz w:val="20"/>
                </w:rPr>
                <w:t>Iovance Biotherapeutics, Inc. 2020 Employee Stock Purchase Plan, as amended (filed herewith).</w:t>
              </w:r>
            </w:hyperlink>
          </w:p>
        </w:tc>
      </w:tr>
      <w:tr>
        <w:trPr/>
        <w:tc>
          <w:tcPr>
            <w:tcW w:w="689" w:type="dxa"/>
            <w:tcBorders/>
            <w:shd w:fill="FFFFFF" w:val="clear"/>
            <w:tcMar>
              <w:bottom w:w="0" w:type="dxa"/>
            </w:tcMar>
            <w:vAlign w:val="center"/>
          </w:tcPr>
          <w:p>
            <w:pPr>
              <w:pStyle w:val="TableContents"/>
              <w:bidi w:val="0"/>
              <w:spacing w:before="0" w:after="283"/>
              <w:jc w:val="center"/>
              <w:rPr/>
            </w:pPr>
            <w:hyperlink w:anchor="tm2618119d2_ex-filingfees.htm">
              <w:r>
                <w:rPr>
                  <w:rStyle w:val="InternetLink"/>
                  <w:sz w:val="20"/>
                </w:rPr>
                <w:t>107</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6" w:type="dxa"/>
            <w:tcBorders/>
            <w:shd w:fill="FFFFFF" w:val="clear"/>
            <w:tcMar>
              <w:bottom w:w="0" w:type="dxa"/>
            </w:tcMar>
            <w:vAlign w:val="center"/>
          </w:tcPr>
          <w:p>
            <w:pPr>
              <w:pStyle w:val="TableContents"/>
              <w:bidi w:val="0"/>
              <w:spacing w:before="0" w:after="283"/>
              <w:jc w:val="left"/>
              <w:rPr/>
            </w:pPr>
            <w:hyperlink w:anchor="tm2618119d2_ex-filingfees.htm">
              <w:r>
                <w:rPr>
                  <w:rStyle w:val="InternetLink"/>
                  <w:sz w:val="20"/>
                </w:rPr>
                <w:t>Filing Fee Table (filed herewith).</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with respect to the Iovance Biotherapeutics, Inc. 2020 Employee Stock Purchase Plan, to be signed on its behalf by the undersigned, thereunto duly authorized, in the City of San Carlos, State of California, on June 18, 2026.</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4525" w:type="dxa"/>
            <w:gridSpan w:val="2"/>
            <w:tcBorders/>
            <w:vAlign w:val="center"/>
          </w:tcPr>
          <w:p>
            <w:pPr>
              <w:pStyle w:val="TableContents"/>
              <w:bidi w:val="0"/>
              <w:spacing w:before="0" w:after="283"/>
              <w:jc w:val="left"/>
              <w:rPr>
                <w:b/>
                <w:sz w:val="20"/>
              </w:rPr>
            </w:pPr>
            <w:r>
              <w:rPr>
                <w:b/>
                <w:sz w:val="20"/>
              </w:rPr>
              <w:t>Iovance Biotherapeutics,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39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Frederick G. Vogt, Ph.D., J.D.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3965" w:type="dxa"/>
            <w:tcBorders/>
            <w:vAlign w:val="center"/>
          </w:tcPr>
          <w:p>
            <w:pPr>
              <w:pStyle w:val="TableContents"/>
              <w:bidi w:val="0"/>
              <w:spacing w:before="0" w:after="283"/>
              <w:jc w:val="left"/>
              <w:rPr>
                <w:sz w:val="20"/>
              </w:rPr>
            </w:pPr>
            <w:r>
              <w:rPr>
                <w:sz w:val="20"/>
              </w:rPr>
              <w:t>Frederick G. Vogt, Ph.D., J.D.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3965" w:type="dxa"/>
            <w:tcBorders/>
            <w:vAlign w:val="center"/>
          </w:tcPr>
          <w:p>
            <w:pPr>
              <w:pStyle w:val="TableContents"/>
              <w:bidi w:val="0"/>
              <w:spacing w:before="0" w:after="283"/>
              <w:jc w:val="left"/>
              <w:rPr>
                <w:sz w:val="20"/>
              </w:rPr>
            </w:pPr>
            <w:r>
              <w:rPr>
                <w:sz w:val="20"/>
              </w:rPr>
              <w:t>Interim CEO and President, and 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1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Frederick G. Vogt and Corleen Roche,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on June 18, 2026.</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2630"/>
        <w:gridCol w:w="60"/>
        <w:gridCol w:w="6260"/>
      </w:tblGrid>
      <w:tr>
        <w:trPr/>
        <w:tc>
          <w:tcPr>
            <w:tcW w:w="2630"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260" w:type="dxa"/>
            <w:tcBorders>
              <w:bottom w:val="single" w:sz="8" w:space="0" w:color="000000"/>
            </w:tcBorders>
            <w:vAlign w:val="center"/>
          </w:tcPr>
          <w:p>
            <w:pPr>
              <w:pStyle w:val="TableContents"/>
              <w:bidi w:val="0"/>
              <w:spacing w:before="0" w:after="283"/>
              <w:jc w:val="center"/>
              <w:rPr>
                <w:b/>
                <w:sz w:val="20"/>
              </w:rPr>
            </w:pPr>
            <w:r>
              <w:rPr>
                <w:b/>
                <w:sz w:val="20"/>
              </w:rPr>
              <w:t>Title</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Frederick G. Vogt, Ph.D., J.D.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Interim Chief Executive Officer and President, General Counsel, and Director</w:t>
            </w:r>
          </w:p>
        </w:tc>
      </w:tr>
      <w:tr>
        <w:trPr/>
        <w:tc>
          <w:tcPr>
            <w:tcW w:w="2630" w:type="dxa"/>
            <w:tcBorders/>
            <w:tcMar>
              <w:bottom w:w="0" w:type="dxa"/>
            </w:tcMar>
            <w:vAlign w:val="center"/>
          </w:tcPr>
          <w:p>
            <w:pPr>
              <w:pStyle w:val="TableContents"/>
              <w:bidi w:val="0"/>
              <w:spacing w:before="0" w:after="283"/>
              <w:jc w:val="left"/>
              <w:rPr>
                <w:sz w:val="20"/>
              </w:rPr>
            </w:pPr>
            <w:r>
              <w:rPr>
                <w:sz w:val="20"/>
              </w:rPr>
              <w:t>Frederick G. Vogt, Ph.D., J.D.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(Principal Executive Officer)</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Corleen Roche</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Chief Financial Officer</w:t>
            </w:r>
          </w:p>
        </w:tc>
      </w:tr>
      <w:tr>
        <w:trPr/>
        <w:tc>
          <w:tcPr>
            <w:tcW w:w="2630" w:type="dxa"/>
            <w:tcBorders/>
            <w:tcMar>
              <w:bottom w:w="0" w:type="dxa"/>
            </w:tcMar>
            <w:vAlign w:val="center"/>
          </w:tcPr>
          <w:p>
            <w:pPr>
              <w:pStyle w:val="TableContents"/>
              <w:bidi w:val="0"/>
              <w:spacing w:before="0" w:after="283"/>
              <w:jc w:val="left"/>
              <w:rPr>
                <w:sz w:val="20"/>
              </w:rPr>
            </w:pPr>
            <w:r>
              <w:rPr>
                <w:sz w:val="20"/>
              </w:rPr>
              <w:t>Corleen Roche</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(Principal Financial Officer and Principal Accounting Officer)</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Iain Dukes, D. Phil.</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Director</w:t>
            </w:r>
          </w:p>
        </w:tc>
      </w:tr>
      <w:tr>
        <w:trPr/>
        <w:tc>
          <w:tcPr>
            <w:tcW w:w="2630" w:type="dxa"/>
            <w:tcBorders/>
            <w:tcMar>
              <w:bottom w:w="0" w:type="dxa"/>
            </w:tcMar>
            <w:vAlign w:val="center"/>
          </w:tcPr>
          <w:p>
            <w:pPr>
              <w:pStyle w:val="TableContents"/>
              <w:bidi w:val="0"/>
              <w:spacing w:before="0" w:after="283"/>
              <w:jc w:val="left"/>
              <w:rPr>
                <w:sz w:val="20"/>
              </w:rPr>
            </w:pPr>
            <w:r>
              <w:rPr>
                <w:sz w:val="20"/>
              </w:rPr>
              <w:t>Iain Dukes, D. Phil.</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pPr>
            <w:r>
              <w:rPr/>
              <w:t> </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Athena Countouriotis, M.D.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Director</w:t>
            </w:r>
          </w:p>
        </w:tc>
      </w:tr>
      <w:tr>
        <w:trPr/>
        <w:tc>
          <w:tcPr>
            <w:tcW w:w="2630" w:type="dxa"/>
            <w:tcBorders/>
            <w:tcMar>
              <w:bottom w:w="0" w:type="dxa"/>
            </w:tcMar>
            <w:vAlign w:val="center"/>
          </w:tcPr>
          <w:p>
            <w:pPr>
              <w:pStyle w:val="TableContents"/>
              <w:bidi w:val="0"/>
              <w:spacing w:before="0" w:after="283"/>
              <w:jc w:val="left"/>
              <w:rPr>
                <w:sz w:val="20"/>
              </w:rPr>
            </w:pPr>
            <w:r>
              <w:rPr>
                <w:sz w:val="20"/>
              </w:rPr>
              <w:t>Athena Countouriotis, M.D.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Ryan Maynard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Director</w:t>
            </w:r>
          </w:p>
        </w:tc>
      </w:tr>
      <w:tr>
        <w:trPr/>
        <w:tc>
          <w:tcPr>
            <w:tcW w:w="2630" w:type="dxa"/>
            <w:tcBorders/>
            <w:tcMar>
              <w:bottom w:w="0" w:type="dxa"/>
            </w:tcMar>
            <w:vAlign w:val="center"/>
          </w:tcPr>
          <w:p>
            <w:pPr>
              <w:pStyle w:val="TableContents"/>
              <w:bidi w:val="0"/>
              <w:spacing w:before="0" w:after="283"/>
              <w:jc w:val="left"/>
              <w:rPr>
                <w:sz w:val="20"/>
              </w:rPr>
            </w:pPr>
            <w:r>
              <w:rPr>
                <w:sz w:val="20"/>
              </w:rPr>
              <w:t>Ryan Maynard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Wayne Rothbaum</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Director</w:t>
            </w:r>
          </w:p>
        </w:tc>
      </w:tr>
      <w:tr>
        <w:trPr/>
        <w:tc>
          <w:tcPr>
            <w:tcW w:w="2630" w:type="dxa"/>
            <w:tcBorders/>
            <w:tcMar>
              <w:bottom w:w="0" w:type="dxa"/>
            </w:tcMar>
            <w:vAlign w:val="center"/>
          </w:tcPr>
          <w:p>
            <w:pPr>
              <w:pStyle w:val="TableContents"/>
              <w:bidi w:val="0"/>
              <w:spacing w:before="0" w:after="283"/>
              <w:jc w:val="left"/>
              <w:rPr>
                <w:sz w:val="20"/>
              </w:rPr>
            </w:pPr>
            <w:r>
              <w:rPr>
                <w:sz w:val="20"/>
              </w:rPr>
              <w:t>Wayne Rothbaum</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r>
        <w:trPr/>
        <w:tc>
          <w:tcPr>
            <w:tcW w:w="2630" w:type="dxa"/>
            <w:tcBorders>
              <w:bottom w:val="single" w:sz="8" w:space="0" w:color="000000"/>
            </w:tcBorders>
            <w:vAlign w:val="center"/>
          </w:tcPr>
          <w:p>
            <w:pPr>
              <w:pStyle w:val="TableContents"/>
              <w:bidi w:val="0"/>
              <w:spacing w:before="0" w:after="283"/>
              <w:jc w:val="left"/>
              <w:rPr>
                <w:sz w:val="20"/>
              </w:rPr>
            </w:pPr>
            <w:r>
              <w:rPr>
                <w:sz w:val="20"/>
              </w:rPr>
              <w:t>/s/ Michael Weiser, M.D., Ph.D.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center"/>
              <w:rPr>
                <w:sz w:val="20"/>
              </w:rPr>
            </w:pPr>
            <w:r>
              <w:rPr>
                <w:sz w:val="20"/>
              </w:rPr>
              <w:t>Director</w:t>
            </w:r>
          </w:p>
        </w:tc>
      </w:tr>
      <w:tr>
        <w:trPr/>
        <w:tc>
          <w:tcPr>
            <w:tcW w:w="2630" w:type="dxa"/>
            <w:tcBorders/>
            <w:tcMar>
              <w:bottom w:w="0" w:type="dxa"/>
            </w:tcMar>
            <w:vAlign w:val="center"/>
          </w:tcPr>
          <w:p>
            <w:pPr>
              <w:pStyle w:val="TableContents"/>
              <w:bidi w:val="0"/>
              <w:spacing w:before="0" w:after="283"/>
              <w:jc w:val="left"/>
              <w:rPr>
                <w:sz w:val="20"/>
              </w:rPr>
            </w:pPr>
            <w:r>
              <w:rPr>
                <w:sz w:val="20"/>
              </w:rPr>
              <w:t>Michael Weiser, M.D., Ph.D.</w:t>
            </w:r>
          </w:p>
        </w:tc>
        <w:tc>
          <w:tcPr>
            <w:tcW w:w="60" w:type="dxa"/>
            <w:tcBorders/>
            <w:tcMar>
              <w:bottom w:w="0" w:type="dxa"/>
            </w:tcMar>
            <w:vAlign w:val="center"/>
          </w:tcPr>
          <w:p>
            <w:pPr>
              <w:pStyle w:val="TableContents"/>
              <w:bidi w:val="0"/>
              <w:spacing w:before="0" w:after="283"/>
              <w:jc w:val="left"/>
              <w:rPr/>
            </w:pPr>
            <w:r>
              <w:rPr/>
              <w:t> </w:t>
            </w:r>
          </w:p>
        </w:tc>
        <w:tc>
          <w:tcPr>
            <w:tcW w:w="62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 w:name="tm2618119d2_ex5-1.htm"/>
      <w:bookmarkStart w:id="4" w:name="kstm2618119d2_ex51"/>
      <w:bookmarkEnd w:id="3"/>
      <w:bookmarkEnd w:id="4"/>
      <w:r>
        <w:rPr>
          <w:caps w:val="false"/>
          <w:smallCaps w:val="false"/>
        </w:rPr>
        <w:t> </w:t>
      </w:r>
      <w:r>
        <w:br w:type="page"/>
      </w:r>
    </w:p>
    <w:p>
      <w:pPr>
        <w:pStyle w:val="TextBody"/>
        <w:bidi w:val="0"/>
        <w:spacing w:before="0" w:after="0"/>
        <w:ind w:left="792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7920" w:right="0" w:firstLine="36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3680"/>
      </w:tblGrid>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DLA Piper LLP (US)</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 John F. Kennedy Parkway, Suite 120</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 Hills, New Jersey 07078</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www.dlapiper.com</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 973-520-2550</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973-520-2551</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Attorneys Responsible for Short Hills Office:</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Emilio Ragosa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Iovance Biotherapeutics,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Industrial Road, Suite 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California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Securities Being Registered under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Iovance Biotherapeutics,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of a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registration of 1,000,000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common stock, $0.000041666 par value per share, of the Company, that may be issued pursuant to the Iovance Biotherapeutics, Inc. 2020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as referenced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Registration Statement and originals, or copies certified or otherwise identified to our satisfaction, of the Certificate of Incorporation, as amended, and the Fourth Amended and Restated Bylaws of the Company and such other documents, records and other instruments as we have deemed appropriate for purposes of the opinion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have been duly authorized and, when and to the extent issued in accordance with the terms of the ESPP and any subscription agreement entered into under the ESPP,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Exhibit 5.1 to the Registration Statement. In giving such consent, we do not hereby admit that we are acting within the category of persons whose consent is required under Section 7 of the Securities Act or the rules or regulations of the U.S. Securities and Exchange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18119d2_ex23-1.htm"/>
      <w:bookmarkStart w:id="6" w:name="kstm2618119d2_ex231"/>
      <w:bookmarkEnd w:id="5"/>
      <w:bookmarkEnd w:id="6"/>
      <w:r>
        <w:rPr/>
        <w:t> </w:t>
      </w:r>
      <w:r>
        <w:br w:type="page"/>
      </w:r>
    </w:p>
    <w:p>
      <w:pPr>
        <w:pStyle w:val="TextBody"/>
        <w:bidi w:val="0"/>
        <w:jc w:val="right"/>
        <w:rPr>
          <w:b/>
          <w:sz w:val="20"/>
        </w:rPr>
      </w:pPr>
      <w:r>
        <w:rPr>
          <w:b/>
          <w:sz w:val="20"/>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CONSENT OF INDEPENDENT REGISTERED PUBLIC ACCOUNTING FIRM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Iovance Biotherapeutics, Inc. 2020 Employee Stock Purchase Plan of our reports dated February 24, 2026, with respect to the consolidated financial statements of Iovance Biotherapeutics, Inc. and the effectiveness of internal control over financial reporting of Iovance Biotherapeutics,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Mateo, California</w:t>
        <w:br/>
        <w:t>June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7" w:name="tm2618119d2_ex99-1.htm"/>
      <w:bookmarkStart w:id="8" w:name="kstm2618119d2_ex991"/>
      <w:bookmarkEnd w:id="7"/>
      <w:bookmarkEnd w:id="8"/>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IOVANCE BIOTHERAPEUTICS,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EMPLOYEE STOCK PURCHASE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Establishment, Purpose and Term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Establishment.</w:t>
      </w:r>
      <w:r>
        <w:rPr>
          <w:rFonts w:ascii="Times New Roman;Times;Serif" w:hAnsi="Times New Roman;Times;Serif"/>
          <w:b w:val="false"/>
          <w:i w:val="false"/>
          <w:caps w:val="false"/>
          <w:smallCaps w:val="false"/>
          <w:sz w:val="20"/>
        </w:rPr>
        <w:t xml:space="preserve"> The Iovance Biotherapeutics, Inc. 2020 Employee Stock Purchase Plan (as amended from time to time,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is hereby established effective as of June 8, 2020, the date of its initial approval by the stockholders of the Company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xml:space="preserve"> The purpose of the Plan is to advance the interests of the Company and its stockholders by providing an incentive to attract, retain and reward Eligible Employees of the Participating Company Group and by motivating such persons to contribute to the growth and profitability of the Participating Company Group. The Plan provides such Eligible Employees with an opportunity to acquire a proprietary interest in the Company through the purchase of Stock. The Company intends that the Plan qualify as an “employee stock purchase plan” under Section 423 of the Code (including any amendments or replacements of such section), and the Plan shall be so construed.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xml:space="preserve"> The Plan shall continue in effect until its termination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Definitions and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Any term not expressly defined in the Plan but defined for purposes of Section 423 of the Code shall have the same definition herein. Whenever used herein, the following terms shall have their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one or a combination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Ownership Change Event or series of related Ownership Change Events (collectively, a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2.1(p)(iii), the entity to which the assets of the Company were transferred (the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as the case may be;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approval by the stockholders of a plan of complete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a Change in Control shall be deemed not to include a transaction described in subsections (i) or (ii) of this Section 2.1(b) in which a majority of the members of the board of directors of the continuing, surviving or successor entity, or parent thereof, immediately after such transaction is comprised of Incumbent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any applicable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Iovance Biotherapeutics, Inc., a Delaware corporation, or any successor corporation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means, with respect to any Offering Period, regular base wages or salary, overtime payments, shift premiums and payments for paid time off, calculated before deduction of (i) any income or employment tax withholdings or (ii) any amounts deferred pursuant to Section 401(k) or Section 125 of the Code. Compensation shall be limited to such amounts actually payable in cash or deferred during the Offering Period. Compensation shall not include (i) sign-on bonuses, annual or other incentive bonuses, commissions, profit-sharing distributions or other incentive-type payments, (ii) any contributions made by a Participating Company on the Participant’s behalf to any employee benefit or welfare plan now or hereafter established (other than amounts deferred pursuant to Section 401(k) or Section 125 of the Code), (iii) payments in lieu of notice, payments pursuant to a severance agreement, termination pay, moving allowances, relocation payments, or (iv) any amounts directly or indirectly paid pursuant to the Plan or any other stock purchase, stock option or other stock-based compensation plan, or any other compensation not expressly included by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Eligible Employee</w:t>
      </w:r>
      <w:r>
        <w:rPr>
          <w:rFonts w:ascii="Times New Roman;Times;Serif" w:hAnsi="Times New Roman;Times;Serif"/>
          <w:b w:val="false"/>
          <w:i w:val="false"/>
          <w:caps w:val="false"/>
          <w:smallCaps w:val="false"/>
          <w:sz w:val="20"/>
        </w:rPr>
        <w:t>” means an Employee who meets the requirements set forth in Section 5 for eligibility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 person treated as an employee of a Participating Company for purposes of Section 423 of the Code. A Participant shall be deemed to have ceased to be an Employee either upon an actual termination of employment or upon the corporation employing the Participant ceasing to be a Participating Company. For purposes of the Plan, an individual shall not be deemed to have ceased to be an Employee while on any military leave, sick leave, or other bona fide leave of absence approved by the Company of ninety (90) days or less. If an individual’s leave of absence exceeds ninety (90) days, the individual shall be deemed to have ceased to be an Employee on the ninety-first (91st) day of such leave unless the individual’s right to reemployment with the Participating Company Group is guaranteed either by statute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on such date, the Stock is listed or quoted on a national or regional securities exchange or quotation system, the closing price of a share of Stock as quoted on the national or regional securities exchange or quotation system constituting the primary market for the Stock, as reported in The Wall Street Journal or such other source as the Company deems reliable. If the relevant date does not fall on a day on which the Stock has traded on such securities exchange or quotation system, the date on which the Fair Market Value is established shall be the last day on which the Stock was so traded or quoted prior to the relevant date, or such other appropriate day as determined by the Committee,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 the relevant date, the Stock is not then listed on a national or regional securities exchange or quotation system, the Fair Market Value of a share of Stock shall be as determined in good faith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Incumbent Director</w:t>
      </w:r>
      <w:r>
        <w:rPr>
          <w:rFonts w:ascii="Times New Roman;Times;Serif" w:hAnsi="Times New Roman;Times;Serif"/>
          <w:b w:val="false"/>
          <w:i w:val="false"/>
          <w:caps w:val="false"/>
          <w:smallCaps w:val="false"/>
          <w:sz w:val="20"/>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Non-United States Offering</w:t>
      </w:r>
      <w:r>
        <w:rPr>
          <w:rFonts w:ascii="Times New Roman;Times;Serif" w:hAnsi="Times New Roman;Times;Serif"/>
          <w:b w:val="false"/>
          <w:i w:val="false"/>
          <w:caps w:val="false"/>
          <w:smallCaps w:val="false"/>
          <w:sz w:val="20"/>
        </w:rPr>
        <w:t>” means a separate Offering covering Eligible Employees of one or more Participating Companies whose Eligible Employees are subject to a prohibition under applicable law on payroll deductions, as described in Section 11.1(b).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means an offering of Stock pursuant to the Plan, as provided in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Offering Date</w:t>
      </w:r>
      <w:r>
        <w:rPr>
          <w:rFonts w:ascii="Times New Roman;Times;Serif" w:hAnsi="Times New Roman;Times;Serif"/>
          <w:b w:val="false"/>
          <w:i w:val="false"/>
          <w:caps w:val="false"/>
          <w:smallCaps w:val="false"/>
          <w:sz w:val="20"/>
        </w:rPr>
        <w:t>” means, for any Offering Period, the first day of such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Offering Period</w:t>
      </w:r>
      <w:r>
        <w:rPr>
          <w:rFonts w:ascii="Times New Roman;Times;Serif" w:hAnsi="Times New Roman;Times;Serif"/>
          <w:b w:val="false"/>
          <w:i w:val="false"/>
          <w:caps w:val="false"/>
          <w:smallCaps w:val="false"/>
          <w:sz w:val="20"/>
        </w:rPr>
        <w:t>” means a period, established by the Committee in accordance with Section 6, during which an Offering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any person designated by the Board as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Ownership Change Event</w:t>
      </w:r>
      <w:r>
        <w:rPr>
          <w:rFonts w:ascii="Times New Roman;Times;Serif" w:hAnsi="Times New Roman;Times;Serif"/>
          <w:b w:val="false"/>
          <w:i w:val="false"/>
          <w:caps w:val="false"/>
          <w:smallCaps w:val="false"/>
          <w:sz w:val="20"/>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Parent Corporation</w:t>
      </w:r>
      <w:r>
        <w:rPr>
          <w:rFonts w:ascii="Times New Roman;Times;Serif" w:hAnsi="Times New Roman;Times;Serif"/>
          <w:b w:val="false"/>
          <w:i w:val="false"/>
          <w:caps w:val="false"/>
          <w:smallCaps w:val="false"/>
          <w:sz w:val="20"/>
        </w:rPr>
        <w:t>” means any present or future “parent corporation” of the Company,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an Eligible Employee who has become a participant in an Offering Period in accordance with Section 7 and remains a participant in accordance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Participating Company</w:t>
      </w:r>
      <w:r>
        <w:rPr>
          <w:rFonts w:ascii="Times New Roman;Times;Serif" w:hAnsi="Times New Roman;Times;Serif"/>
          <w:b w:val="false"/>
          <w:i w:val="false"/>
          <w:caps w:val="false"/>
          <w:smallCaps w:val="false"/>
          <w:sz w:val="20"/>
        </w:rPr>
        <w:t>” means the Company and any Parent Corporation or Subsidiary Corporation designated by the Committee as a corporation the Employees of which may, if Eligible Employees, participate in the Plan. The Committee shall have the discretion to determine from time to time which Parent Corporations or Subsidiary Corporations shall be Participating Companies. The Committee shall designate from time to time and set forth in Exhibit A to this Plan those Participating Companies whose Eligible Employees may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Participating Company Group</w:t>
      </w:r>
      <w:r>
        <w:rPr>
          <w:rFonts w:ascii="Times New Roman;Times;Serif" w:hAnsi="Times New Roman;Times;Serif"/>
          <w:b w:val="false"/>
          <w:i w:val="false"/>
          <w:caps w:val="false"/>
          <w:smallCaps w:val="false"/>
          <w:sz w:val="20"/>
        </w:rPr>
        <w:t>” means, at any point in time, the Company and all other corporations collectively which are then Participating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Purchase Date</w:t>
      </w:r>
      <w:r>
        <w:rPr>
          <w:rFonts w:ascii="Times New Roman;Times;Serif" w:hAnsi="Times New Roman;Times;Serif"/>
          <w:b w:val="false"/>
          <w:i w:val="false"/>
          <w:caps w:val="false"/>
          <w:smallCaps w:val="false"/>
          <w:sz w:val="20"/>
        </w:rPr>
        <w:t>” means, for any Offering Period, the last day of such Offering Period, or, if so determined by the Committee, the last day of each Purchase Period occurring within such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Purchase Period</w:t>
      </w:r>
      <w:r>
        <w:rPr>
          <w:rFonts w:ascii="Times New Roman;Times;Serif" w:hAnsi="Times New Roman;Times;Serif"/>
          <w:b w:val="false"/>
          <w:i w:val="false"/>
          <w:caps w:val="false"/>
          <w:smallCaps w:val="false"/>
          <w:sz w:val="20"/>
        </w:rPr>
        <w:t>” means a period, established by the Committee in accordance with Section 6, included within an Offering Period and on the final date of which outstanding Purchase Rights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means the price at which a share of Stock may be purchased under the Plan, as determined in accordance with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Purchase Right</w:t>
      </w:r>
      <w:r>
        <w:rPr>
          <w:rFonts w:ascii="Times New Roman;Times;Serif" w:hAnsi="Times New Roman;Times;Serif"/>
          <w:b w:val="false"/>
          <w:i w:val="false"/>
          <w:caps w:val="false"/>
          <w:smallCaps w:val="false"/>
          <w:sz w:val="20"/>
        </w:rPr>
        <w:t>” means an option granted to a Participant pursuant to the Plan to purchase such shares of Stock as provided in Section 8, which the Participant may or may not exercise during the Offering Period in which such option is outstanding. Such option arises from the right of a Participant to withdraw any payroll deductions or other funds accumulated on behalf of the Participant and not previously applied to the purchase of Stock under the Plan, and to terminate participation in the Plan at any time during an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Stock</w:t>
      </w:r>
      <w:r>
        <w:rPr>
          <w:rFonts w:ascii="Times New Roman;Times;Serif" w:hAnsi="Times New Roman;Times;Serif"/>
          <w:b w:val="false"/>
          <w:i w:val="false"/>
          <w:caps w:val="false"/>
          <w:smallCaps w:val="false"/>
          <w:sz w:val="20"/>
        </w:rPr>
        <w:t>” means the common stock of the Company, as adjusted from time to time in accordance with Section 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means a written or electronic agreement, in such form as specified by the Company, stating an Employee’s election to participate in the Plan and authorizing payroll deductions under the Plan from the Employee’s Compensation or other method of payment authorized by the Committee pursuant to Section 11.1(b).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means the last business day prior to the Offering Date of an Offering Period or such earlier date as the Company shall establish.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Subsidiary Corporation</w:t>
      </w:r>
      <w:r>
        <w:rPr>
          <w:rFonts w:ascii="Times New Roman;Times;Serif" w:hAnsi="Times New Roman;Times;Serif"/>
          <w:b w:val="false"/>
          <w:i w:val="false"/>
          <w:caps w:val="false"/>
          <w:smallCaps w:val="false"/>
          <w:sz w:val="20"/>
        </w:rPr>
        <w:t>” means any present or future “subsidiary corporation” of the Company,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Administration by the Committee.</w:t>
      </w:r>
      <w:r>
        <w:rPr>
          <w:rFonts w:ascii="Times New Roman;Times;Serif" w:hAnsi="Times New Roman;Times;Serif"/>
          <w:b w:val="false"/>
          <w:i w:val="false"/>
          <w:caps w:val="false"/>
          <w:smallCaps w:val="false"/>
          <w:sz w:val="20"/>
        </w:rPr>
        <w:t xml:space="preserve"> The Plan shall be administered by the Committee. All questions of interpretation of the Plan, of any form of agreement or other document employed by the Company in the administration of the Plan, or of any Purchase Right shall be determined by the Committee, and such determinations shall be final, binding and conclusive upon all persons having an interest in the Plan or the Purchase Right, unless fraudulent or made in bad faith. Subject to the provisions of the Plan, the Committee shall determine all of the relevant terms and conditions of Purchase Rights; provided, however, that all Participants granted Purchase Rights pursuant to an Offering shall have the same rights and privileges within the meaning of Section 423(b)(5) of the Code. Any and all actions, decisions and determinations taken or made by the Committee in the exercise of its discretion pursuant to the Plan or any agreement thereunder (other than determining questions of interpretation pursuant to the second sentence of this Section 3.1) shall be final, binding and conclusive upon all persons having an interest therein. All expenses incurred in connection with the administration of the Plan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Authority of Officers.</w:t>
      </w:r>
      <w:r>
        <w:rPr>
          <w:rFonts w:ascii="Times New Roman;Times;Serif" w:hAnsi="Times New Roman;Times;Serif"/>
          <w:b w:val="false"/>
          <w:i w:val="false"/>
          <w:caps w:val="false"/>
          <w:smallCaps w:val="false"/>
          <w:sz w:val="20"/>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Power to Adopt Sub-Plans or Varying Terms with Respect to Non-U.S. Employees.</w:t>
      </w:r>
      <w:r>
        <w:rPr>
          <w:rFonts w:ascii="Times New Roman;Times;Serif" w:hAnsi="Times New Roman;Times;Serif"/>
          <w:b w:val="false"/>
          <w:i w:val="false"/>
          <w:caps w:val="false"/>
          <w:smallCaps w:val="false"/>
          <w:sz w:val="20"/>
        </w:rPr>
        <w:t xml:space="preserve"> The Committee shall have the power, in its discretion, to adopt one or more sub-plans of the Plan as the Committee deems necessary or desirable to comply with the laws or regulations, tax policy, accounting principles or custom of foreign jurisdictions applicable to employees of a subsidiary business entity of the Company, provided that any such sub-plan shall not be within the scope of an “employee stock purchase plan” within the meaning of Section 423 of the Code. Any of the provisions of any such sub-plan may supersede the provisions of this Plan, other than Section 4. Except as superseded by the provisions of a sub-plan, the provisions of this Plan shall govern such sub-plan. Alternatively and in order to comply with the laws of a foreign jurisdiction, the Committee shall have the power, in its discretion, to grant Purchase Rights in an Offering to citizens or residents of a non-U.S. jurisdiction (without regard to whether they are also citizens of the United States or resident aliens) that provide terms which are less favorable than the terms of Purchase Rights granted under the same Offering to Employees resident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Power to Establish Separate Offerings with Varying Terms.</w:t>
      </w:r>
      <w:r>
        <w:rPr>
          <w:rFonts w:ascii="Times New Roman;Times;Serif" w:hAnsi="Times New Roman;Times;Serif"/>
          <w:b w:val="false"/>
          <w:i w:val="false"/>
          <w:caps w:val="false"/>
          <w:smallCaps w:val="false"/>
          <w:sz w:val="20"/>
        </w:rPr>
        <w:t xml:space="preserve"> The Committee shall have the power, in its discretion, to establish separate, simultaneous or overlapping Offerings having different terms and conditions and to designate the Participating Company or Companies that may participate in a particular Offering, provided that each Offering shall individually comply with the terms of the Plan and the requirements of Section 423(b)(5) of the Code that all Participants granted Purchase Rights pursuant to such Offering shall have the same rights and privileges within the meaning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Policies and Procedures Established by the Company.</w:t>
      </w:r>
      <w:r>
        <w:rPr>
          <w:rFonts w:ascii="Times New Roman;Times;Serif" w:hAnsi="Times New Roman;Times;Serif"/>
          <w:b w:val="false"/>
          <w:i w:val="false"/>
          <w:caps w:val="false"/>
          <w:smallCaps w:val="false"/>
          <w:sz w:val="20"/>
        </w:rPr>
        <w:t xml:space="preserve"> Without regard to whether any Participant’s Purchase Right may be considered adversely affected, the Company may, from time to time, consistent with the Plan and the requirements of Section 423 of the Code, establish, change or terminate such rules, guidelines, policies, procedures, limitations, or adjustments as deemed advisable by the Company, in its discretion, for the proper administration of the Plan, including, without limitation, (a) a minimum payroll deduction amount required for participation in an Offering, (b) a limitation on the frequency or number of changes permitted in the rate of payroll deduction during an Offering, (c) an exchange ratio applicable to amounts withheld or paid in a currency other than United States dollars, (d) a payroll deduction greater than or less than the amount designated by a Participant in order to adjust for the Company’s delay or mistake in processing a Subscription Agreement or in otherwise effecting a Participant’s election under the Plan or as advisable to comply with the requirements of Section 423 of the Code, and (e) determination of the date and manner by which the Fair Market Value of a share of Stock is determined for purposes of administration of the Plan. All such actions by the Company shall be taken consistent with the requirements under Section 423(b)(5) of the Code that all Participants granted Purchase Rights pursuant to an Offering shall have the same rights and privileges within the meaning of such section, except as otherwise permitted by Section 3.3 and the regulations under Section 423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Shares Subject to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Maximum Number of Shares Issuable.</w:t>
      </w:r>
      <w:r>
        <w:rPr>
          <w:rFonts w:ascii="Times New Roman;Times;Serif" w:hAnsi="Times New Roman;Times;Serif"/>
          <w:b w:val="false"/>
          <w:i w:val="false"/>
          <w:caps w:val="false"/>
          <w:smallCaps w:val="false"/>
          <w:sz w:val="20"/>
        </w:rPr>
        <w:t xml:space="preserve"> Subject to adjustment as provided in Sections 4.2, the maximum aggregate number of shares of Stock that may be issued under the Plan shall be 3,900,000 and shall consist of authorized but unissued or reacquired shares of Stock, or any combination thereof. If an outstanding Purchase Right for any reason expires or is terminated or canceled, the shares of Stock allocable to the unexercised portion of that Purchase Right shall again be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Adjustments for Changes in Capital Structure.</w:t>
      </w:r>
      <w:r>
        <w:rPr>
          <w:rFonts w:ascii="Times New Roman;Times;Serif" w:hAnsi="Times New Roman;Times;Serif"/>
          <w:b w:val="false"/>
          <w:i w:val="false"/>
          <w:caps w:val="false"/>
          <w:smallCaps w:val="false"/>
          <w:sz w:val="20"/>
        </w:rPr>
        <w:t xml:space="preserve"> Subject to any required action by the stockholders of the Company and the requirements of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the Annual Increase, the limit on the shares which may be purchased by any Participant during an Offering (as described in Sections 8.1 and 8.2) and each Purchase Right, and in the Purchase Price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Purchase Rights are exchanged for, converted into, or otherwise become (whether or not pursuant to an Ownership Change Event) shares of another corporation (the “</w:t>
      </w:r>
      <w:r>
        <w:rPr>
          <w:rFonts w:ascii="Times New Roman;Times;Serif" w:hAnsi="Times New Roman;Times;Serif"/>
          <w:b/>
          <w:i w:val="false"/>
          <w:caps w:val="false"/>
          <w:smallCaps w:val="false"/>
          <w:sz w:val="20"/>
        </w:rPr>
        <w:t>New Shares</w:t>
      </w:r>
      <w:r>
        <w:rPr>
          <w:rFonts w:ascii="Times New Roman;Times;Serif" w:hAnsi="Times New Roman;Times;Serif"/>
          <w:b w:val="false"/>
          <w:i w:val="false"/>
          <w:caps w:val="false"/>
          <w:smallCaps w:val="false"/>
          <w:sz w:val="20"/>
        </w:rPr>
        <w:t>”), the Committee may unilaterally amend the outstanding Purchase Rights to provide that such Purchase Rights are for New Shares. In the event of any such amendment, the number of shares subject to, and the exercise price per share of, the outstanding Purchase Rights shall be adjusted in a fair and equitable manner as determined by the Committee, in its discretion. Any fractional share resulting from an adjustment pursuant to this Section shall be rounded down to the nearest whole number, and in no event may the Purchase Price be decreased to an amount less than the par value, if any, of the stock subject to the Purchase Right. The adjustments determined by the Committee pursuant to this Section 4.2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Employees Eligible to Participate.</w:t>
      </w:r>
      <w:r>
        <w:rPr>
          <w:rFonts w:ascii="Times New Roman;Times;Serif" w:hAnsi="Times New Roman;Times;Serif"/>
          <w:b w:val="false"/>
          <w:i w:val="false"/>
          <w:caps w:val="false"/>
          <w:smallCaps w:val="false"/>
          <w:sz w:val="20"/>
        </w:rPr>
        <w:t xml:space="preserve"> Each Employee of a Participating Company is eligible to participate in the Plan and shall be deemed an Eligible Employee, except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Employee who is customarily employed by the Participating Company Group for twenty (20) hours or less per week;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Employee who is customarily employed by the Participating Company Group for not more than five (5) months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Exclusion of Certain Stockholders.</w:t>
      </w:r>
      <w:r>
        <w:rPr>
          <w:rFonts w:ascii="Times New Roman;Times;Serif" w:hAnsi="Times New Roman;Times;Serif"/>
          <w:b w:val="false"/>
          <w:i w:val="false"/>
          <w:caps w:val="false"/>
          <w:smallCaps w:val="false"/>
          <w:sz w:val="20"/>
        </w:rPr>
        <w:t xml:space="preserve"> Notwithstanding any provision of the Plan to the contrary, no Employee shall be treated as an Eligible Employee and granted a Purchase Right under the Plan if, immediately after such grant, the Employee would own, or hold options to purchase, stock of the Company or of any Parent Corporation or Subsidiary Corporation possessing five percent (5%) or more of the total combined voting power or value of all classes of stock of such corporation, as determined in accordance with Section 423(b)(3) of the Code. For purposes of this Section 5.2, the attribution rules of Section 424(d) of the Code shall apply in determining the stock ownership of such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Determination by Company.</w:t>
      </w:r>
      <w:r>
        <w:rPr>
          <w:rFonts w:ascii="Times New Roman;Times;Serif" w:hAnsi="Times New Roman;Times;Serif"/>
          <w:b w:val="false"/>
          <w:i w:val="false"/>
          <w:caps w:val="false"/>
          <w:smallCaps w:val="false"/>
          <w:sz w:val="20"/>
        </w:rPr>
        <w:t xml:space="preserve"> The Company shall determine in good faith and in the exercise of its discretion whether an individual has become or has ceased to be an Employee or an Eligible Employee and the effective date of such individual’s attainment or termination of such status, as the case may be. For purposes of an individual’s participation in or other rights, if any, under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implemented by sequential Offerings of approximately six (6) months’ duration or such other duration as the Committee shall determine. Offering Periods shall commence on or about the fifteenth (15th) days of June and December each year and end on or about the fourteenth (14th) day of the next December and June, respectively, occurring thereafter. Notwithstanding the foregoing, the Committee may establish additional or alternative concurrent, sequential or overlapping Offering Periods, a different duration for one or more Offering Periods or different commencing or ending dates for such Offering Periods; provided, however, that no Offering Period may have a duration exceeding twenty-seven (27) months. If the Committee shall so determine in its discretion, each Offering Period may consist of two (2) or more consecutive Purchase Periods having such duration as the Committee shall specify, and the last day of each such Purchase Period shall be a Purchase Date. If the first or last day of an Offering Period or a Purchase Period is not a day on which the principal stock exchange or quotation system on which the Stock is then listed is open for trading, the Company shall specify the trading day that will be deemed the first or last day, as the case may be, of the Offering Period or Purchase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Participation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7.1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Initial Participation.</w:t>
      </w:r>
      <w:r>
        <w:rPr>
          <w:rFonts w:ascii="Times New Roman;Times;Serif" w:hAnsi="Times New Roman;Times;Serif"/>
          <w:b w:val="false"/>
          <w:i w:val="false"/>
          <w:caps w:val="false"/>
          <w:smallCaps w:val="false"/>
          <w:sz w:val="20"/>
        </w:rPr>
        <w:t xml:space="preserve"> An Eligible Employee may become a Participant in an Offering Period by delivering a properly completed written or electronic Subscription Agreement to the Company office or representative designated by the Company (including a third-party administrator designated by the Company) not later than the close of business on the Subscription Date established by the Company for that Offering Period. An Eligible Employee who does not deliver a properly completed Subscription Agreement in the manner permitted or required on or before the Subscription Date for an Offering Period shall not participate in the Plan for that Offering Period or for any subsequent Offering Period unless the Eligible Employee subsequently delivers a properly completed Subscription Agreement to the appropriate Company office or representative on or before the Subscription Date for such subsequent Offering Period. An Employee who becomes an Eligible Employee after the Offering Date of an Offering Period shall not be eligible to participate in that Offering Period but may participate in any subsequent Offering Period provided the Employee is still an Eligible Employee as of the Offering Date of such subsequent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Continued Participation.</w:t>
      </w:r>
      <w:r>
        <w:rPr>
          <w:rFonts w:ascii="Times New Roman;Times;Serif" w:hAnsi="Times New Roman;Times;Serif"/>
          <w:b w:val="false"/>
          <w:i w:val="false"/>
          <w:caps w:val="false"/>
          <w:smallCaps w:val="false"/>
          <w:sz w:val="20"/>
        </w:rPr>
        <w:t xml:space="preserve"> A Participant shall automatically participate in the next Offering Period commencing immediately after the final Purchase Date of each Offering Period in which the Participant participates provided that the Participant remains an Eligible Employee on the Offering Date of the new Offering Period and has not either (a) withdrawn from the Plan pursuant to Section 12.1, or (b) terminated employment or otherwise ceased to be an Eligible Employee as provided in Section 13. A Participant who may automatically participate in a subsequent Offering Period, as provided in this Section, is not required to deliver any additional Subscription Agreement for the subsequent Offering Period in order to continue participation in the Plan. However, a Participant may deliver a new Subscription Agreement for a subsequent Offering Period in accordance with the procedures set forth in Section 7.1 if the Participant desires to change any of the elections contained in the Participant’s then effective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Right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Grant of Purchase Right.</w:t>
      </w:r>
      <w:r>
        <w:rPr>
          <w:rFonts w:ascii="Times New Roman;Times;Serif" w:hAnsi="Times New Roman;Times;Serif"/>
          <w:b w:val="false"/>
          <w:i w:val="false"/>
          <w:caps w:val="false"/>
          <w:smallCaps w:val="false"/>
          <w:sz w:val="20"/>
        </w:rPr>
        <w:t xml:space="preserve"> Except as otherwise provided below, on the Offering Date of each Offering Period, each Participant in such Offering Period shall be granted automatically a Purchase Right consisting of an option to purchase the lesser of (a) that number of whole shares of Stock determined by dividing the Dollar Limit (determined as provided below) by the Fair Market Value of a share of Stock on such Offering Date or (b) the Share Limit (determined as provided below). The Committee may, in its discretion and prior to the Offering Date of any Offering Period, (i) change the method of, or any of the foregoing factors in, determining the number of shares of Stock subject to Purchase Rights to be granted on such Offering Date, or (ii)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w:t>
      </w:r>
      <w:r>
        <w:rPr>
          <w:rFonts w:ascii="Times New Roman;Times;Serif" w:hAnsi="Times New Roman;Times;Serif"/>
          <w:b/>
          <w:i/>
          <w:caps w:val="false"/>
          <w:smallCaps w:val="false"/>
          <w:sz w:val="20"/>
        </w:rPr>
        <w:t>Dollar Limit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shall be determined by multiplying $2,083.33 by the number of months (rounded to the nearest whole month) in the Offering Period and rounding to the nearest whole dollar, and the “</w:t>
      </w:r>
      <w:r>
        <w:rPr>
          <w:rFonts w:ascii="Times New Roman;Times;Serif" w:hAnsi="Times New Roman;Times;Serif"/>
          <w:b/>
          <w:i/>
          <w:caps w:val="false"/>
          <w:smallCaps w:val="false"/>
          <w:sz w:val="20"/>
        </w:rPr>
        <w:t>Share Limit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shall be determined by multiplying 420 shares by the number of months (rounded to the nearest whole month) in the Offering Period and rounding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Calendar Year Purchase Limitation.</w:t>
      </w:r>
      <w:r>
        <w:rPr>
          <w:rFonts w:ascii="Times New Roman;Times;Serif" w:hAnsi="Times New Roman;Times;Serif"/>
          <w:b w:val="false"/>
          <w:i w:val="false"/>
          <w:caps w:val="false"/>
          <w:smallCaps w:val="false"/>
          <w:sz w:val="20"/>
        </w:rPr>
        <w:t xml:space="preserve"> Notwithstanding any provision of the Plan to the contrary, no Participant shall be granted a Purchase Right which permits his or her right to purchase shares of Stock under the Plan to accrue at a rate which, when aggregated with such Participant’s rights to purchase shares under all other employee stock purchase plans of a Participating Company intended to meet the requirements of Section 423 of the Code, exceeds Twenty-Five Thousand Dollars ($25,000) in Fair Market Value (or such other limit, if any, as may be imposed by the Code) for each calendar year in which such Purchase Right is outstanding at any time. For purposes of the preceding sentence, the Fair Market Value of shares purchased during a given Offering Period shall be determined as of the Offering Date for such Offering Period. The limitation described in this Section shall be applied in conformance with Section 423(b)(8) of the Code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at which each share of Stock may be acquired in an Offering Period upon the exercise of all or any portion of a Purchase Right shall be established by the Committee; provided, however, that the Purchase Price on each Purchase Date shall not be less than eighty-five percent (85%) of the lesser of (a) the Fair Market Value of a share of Stock on the Offering Date of the Offering Period or (b) the Fair Market Value of a share of Stock on the Purchase Date. Subject to adjustment as provided by the Plan and unless otherwise provided by the Committee, the Purchase Price for each Offering Period shall be eighty-five percent (85%) of the lesser of (a) the Fair Market Value of a share of Stock on the Offering Date of the Offering Period or (b) the Fair Market Value of a share of Stock on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Accumulation of Purchase Price through Payroll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Section 11.1(b) with respect to a Non-United States Offering, shares of Stock acquired pursuant to the exercise of all or any portion of a Purchase Right may be paid for only by means of payroll deductions from the Participant’s Compensation accumulated during the Offering Period for which such Purchase Right was granted,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Amount of Payroll Deductions.</w:t>
      </w:r>
      <w:r>
        <w:rPr>
          <w:rFonts w:ascii="Times New Roman;Times;Serif" w:hAnsi="Times New Roman;Times;Serif"/>
          <w:b w:val="false"/>
          <w:i w:val="false"/>
          <w:caps w:val="false"/>
          <w:smallCaps w:val="false"/>
          <w:sz w:val="20"/>
        </w:rPr>
        <w:t xml:space="preserve"> Except as otherwise provided herein, the amount to be deducted under the Plan from a Participant’s Compensation on each pay day during an Offering Period shall be determined by the Participant’s Subscription Agreement. The Subscription Agreement shall set forth the percentage of the Participant’s Compensation to be deducted on each pay day during an Offering Period in whole percentages of not less than one percent (1%) (except as a result of an election pursuant to Section 10.3 to stop payroll deductions effective following the first pay day during an Offering) or more than twenty percent (20%). The Committee may change the foregoing limits on payroll deductions effective as of any Offering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Commencement of Payroll Deductions.</w:t>
      </w:r>
      <w:r>
        <w:rPr>
          <w:rFonts w:ascii="Times New Roman;Times;Serif" w:hAnsi="Times New Roman;Times;Serif"/>
          <w:b w:val="false"/>
          <w:i w:val="false"/>
          <w:caps w:val="false"/>
          <w:smallCaps w:val="false"/>
          <w:sz w:val="20"/>
        </w:rPr>
        <w:t xml:space="preserve"> Payroll deductions shall commence on the first pay day following the Offering Date and shall continue to the end of the Offering Period unless sooner altered or terminated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Election to Decrease or Stop Payroll Deductions.</w:t>
      </w:r>
      <w:r>
        <w:rPr>
          <w:rFonts w:ascii="Times New Roman;Times;Serif" w:hAnsi="Times New Roman;Times;Serif"/>
          <w:b w:val="false"/>
          <w:i w:val="false"/>
          <w:caps w:val="false"/>
          <w:smallCaps w:val="false"/>
          <w:sz w:val="20"/>
        </w:rPr>
        <w:t xml:space="preserve"> During an Offering Period, a Participant may elect to decrease the rate of or to stop deductions from his or her Compensation by delivering to the Company office or representative designated by the Company (including a third-party administrator designated by the Company) an amended Subscription Agreement authorizing such change on or before the “Change Notice Date.” The “</w:t>
      </w:r>
      <w:r>
        <w:rPr>
          <w:rFonts w:ascii="Times New Roman;Times;Serif" w:hAnsi="Times New Roman;Times;Serif"/>
          <w:b/>
          <w:i w:val="false"/>
          <w:caps w:val="false"/>
          <w:smallCaps w:val="false"/>
          <w:sz w:val="20"/>
        </w:rPr>
        <w:t>Change Notice Date</w:t>
      </w:r>
      <w:r>
        <w:rPr>
          <w:rFonts w:ascii="Times New Roman;Times;Serif" w:hAnsi="Times New Roman;Times;Serif"/>
          <w:b w:val="false"/>
          <w:i w:val="false"/>
          <w:caps w:val="false"/>
          <w:smallCaps w:val="false"/>
          <w:sz w:val="20"/>
        </w:rPr>
        <w:t>” shall be a date prior to the beginning of the first pay period for which such election is to be effective as established by the Company from time to time and announced to the Participants. A Participant who elects, effective following the first pay day of an Offering Period, to decrease the rate of his or her payroll deductions to zero percent (0%) shall nevertheless remain a Participant in such Offering Period unless the Participant withdraws from the Plan as provided in Section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Administrative Suspension of Payroll Deductions.</w:t>
      </w:r>
      <w:r>
        <w:rPr>
          <w:rFonts w:ascii="Times New Roman;Times;Serif" w:hAnsi="Times New Roman;Times;Serif"/>
          <w:b w:val="false"/>
          <w:i w:val="false"/>
          <w:caps w:val="false"/>
          <w:smallCaps w:val="false"/>
          <w:sz w:val="20"/>
        </w:rPr>
        <w:t xml:space="preserve"> The Company may, in its discretion, suspend a Participant’s payroll deductions under the Plan as the Company deems advisable to avoid accumulating payroll deductions in excess of the amount that could reasonably be anticipated to purchase the maximum number of shares of Stock permitted (a) under the Participant’s Purchase Right or (b) during a calendar year under the limit set forth in Section 8.2. Unless the Participant has either withdrawn from the Plan as provided in Section 12.1 or has ceased to be an Eligible Employee, suspended payroll deductions shall be resumed at the rate specified in the Participant’s then effective Subscription Agreement either (i) at the beginning of the next Offering Period if the reason for suspension was clause (a) in the preceding sentence, or (ii) at the beginning of the next Offering Period having a first Purchase Date that falls within the subsequent calendar year if the reason for suspension was clause (b)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Participant Accounts.</w:t>
      </w:r>
      <w:r>
        <w:rPr>
          <w:rFonts w:ascii="Times New Roman;Times;Serif" w:hAnsi="Times New Roman;Times;Serif"/>
          <w:b w:val="false"/>
          <w:i w:val="false"/>
          <w:caps w:val="false"/>
          <w:smallCaps w:val="false"/>
          <w:sz w:val="20"/>
        </w:rPr>
        <w:t xml:space="preserve"> Individual bookkeeping accounts shall be maintained for each Participant. All payroll deductions from a Participant’s Compensation (and other amounts received from a non-United States Participant pursuant to Section 11.1(b)) shall be credited to such Participant’s Plan account and shall be deposited with the general funds of the Company. All such amounts received or held by the Company may be used by the Company for any corporate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No Interest Paid.</w:t>
      </w:r>
      <w:r>
        <w:rPr>
          <w:rFonts w:ascii="Times New Roman;Times;Serif" w:hAnsi="Times New Roman;Times;Serif"/>
          <w:b w:val="false"/>
          <w:i w:val="false"/>
          <w:caps w:val="false"/>
          <w:smallCaps w:val="false"/>
          <w:sz w:val="20"/>
        </w:rPr>
        <w:t xml:space="preserve"> Interest shall not be paid on sums deducted from a Participant’s Compensation pursuant to the Plan or otherwise credited to the Participant’s Plan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Purchase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Exercise of 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Except as provided in Section 11.1(b), on each Purchase Date of an Offering Period, each Participant who has not withdrawn from the Plan and whose participation in the Offering has not otherwise terminated before such Purchase Date shall automatically acquire pursuant to the exercise of the Participant’s Purchase Right the number of whole shares of Stock determined by dividing (a) the total amount of the Participant’s payroll deductions accumulated in the Participant’s Plan account during the Offering Period and not previously applied toward the purchase of Stock by (b) the Purchase Price. However, in no event shall the number of shares purchased by the Participant during an Offering Period exceed the number of shares subject to the Participant’s Purchase Right. No shares of Stock shall be purchased on a Purchase Date on behalf of a Participant whose participation in the Offering or the Plan has terminated before such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Purchase by Non-United States Participants for Whom Payroll Deductions Are Prohibited by Applicable Law.</w:t>
      </w:r>
      <w:r>
        <w:rPr>
          <w:rFonts w:ascii="Times New Roman;Times;Serif" w:hAnsi="Times New Roman;Times;Serif"/>
          <w:b w:val="false"/>
          <w:i w:val="false"/>
          <w:caps w:val="false"/>
          <w:smallCaps w:val="false"/>
          <w:sz w:val="20"/>
        </w:rPr>
        <w:t xml:space="preserve"> Notwithstanding Section 11.1(a), where payroll deductions on behalf of Participants who are citizens or residents of countries other than the United States (without regard to whether they are also citizens of the United States or resident aliens) are prohibited by applicable law, the Committee may establish a separate Offering (a “</w:t>
      </w:r>
      <w:r>
        <w:rPr>
          <w:rFonts w:ascii="Times New Roman;Times;Serif" w:hAnsi="Times New Roman;Times;Serif"/>
          <w:b/>
          <w:i w:val="false"/>
          <w:caps w:val="false"/>
          <w:smallCaps w:val="false"/>
          <w:sz w:val="20"/>
        </w:rPr>
        <w:t>Non-United States Offering</w:t>
      </w:r>
      <w:r>
        <w:rPr>
          <w:rFonts w:ascii="Times New Roman;Times;Serif" w:hAnsi="Times New Roman;Times;Serif"/>
          <w:b w:val="false"/>
          <w:i w:val="false"/>
          <w:caps w:val="false"/>
          <w:smallCaps w:val="false"/>
          <w:sz w:val="20"/>
        </w:rPr>
        <w:t>”) covering all Eligible Employees of one or more Participating Companies subject to such prohibition on payroll deductions. The Non-United States Offering shall provide another method for payment of the Purchase Price with such terms and conditions as shall be administratively convenient and comply with applicable law. On each Purchase Date of the Offering Period applicable to a Non-United States Offering, each Participant who has not withdrawn from the Plan and whose participation in such Offering Period has not otherwise terminated before such Purchase Date shall automatically acquire pursuant to the exercise of the Participant’s Purchase Right a number of whole shares of Stock determined in accordance with Section 11.1(a) to the extent of the total amount of the Participant’s Plan account balance accumulated during the Offering Period in accordance with the method established by the Committee and not previously applied toward the purchase of Stock. However, in no event shall the number of shares purchased by a Participant during such Offering Period exceed the number of shares subject to the Participant’s Purchase Right. The Company shall refund to a Participant in a Non-United States Offering in accordance with Section 11.4 any excess Purchase Price payment received from such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Pro Rata Allocation of Shares.</w:t>
      </w:r>
      <w:r>
        <w:rPr>
          <w:rFonts w:ascii="Times New Roman;Times;Serif" w:hAnsi="Times New Roman;Times;Serif"/>
          <w:b w:val="false"/>
          <w:i w:val="false"/>
          <w:caps w:val="false"/>
          <w:smallCaps w:val="false"/>
          <w:sz w:val="20"/>
        </w:rPr>
        <w:t xml:space="preserve"> If the number of shares of Stock which might be purchased by all Participants on a Purchase Date exceeds the number of shares of Stock remaining available for issuance under the Plan or the maximum aggregate number of shares of Stock that may be purchased on such Purchase Date pursuant to a limit established by the Committee pursuant to Section 8.1, the Company shall make a pro rata allocation of the shares available in as uniform a manner as practicable and as the Company determines to be equitable. Any fractional share resulting from such pro rata allocation to any Participant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Delivery of Title to Shares.</w:t>
      </w:r>
      <w:r>
        <w:rPr>
          <w:rFonts w:ascii="Times New Roman;Times;Serif" w:hAnsi="Times New Roman;Times;Serif"/>
          <w:b w:val="false"/>
          <w:i w:val="false"/>
          <w:caps w:val="false"/>
          <w:smallCaps w:val="false"/>
          <w:sz w:val="20"/>
        </w:rPr>
        <w:t xml:space="preserve"> Subject to any governing rules or regulations, as soon as practicable after each Purchase Date, the Company shall issue or cause to be issued to or for the benefit of each Participant the shares of Stock acquired by the Participant on such Purchase Date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Return of Plan Account Balance.</w:t>
      </w:r>
      <w:r>
        <w:rPr>
          <w:rFonts w:ascii="Times New Roman;Times;Serif" w:hAnsi="Times New Roman;Times;Serif"/>
          <w:b w:val="false"/>
          <w:i w:val="false"/>
          <w:caps w:val="false"/>
          <w:smallCaps w:val="false"/>
          <w:sz w:val="20"/>
        </w:rPr>
        <w:t xml:space="preserve"> Any cash balance remaining in a Participant’s Plan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Stock on such Purchase Date, the Company may retain the cash balance in the Participant’s Plan account to be applied toward the purchase of shares of Stock in the subsequent Purchase Period or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At the time a Participant’s Purchase Right is exercised, in whole or in part, or at the time a Participant disposes of some or all of the shares of Stock he or she acquires under the Plan, the Participant shall make adequate provision for the federal, state, local and foreign taxes (including social insurance), if any, required to be withheld by any Participating Company upon exercise of the Purchase Right or upon such disposition of shares, respectively. A Participating Company may, but shall not be obligated to, withhold from the Participant’s compensation the amount necessary to meet such withholding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Expiration of Purchase Right.</w:t>
      </w:r>
      <w:r>
        <w:rPr>
          <w:rFonts w:ascii="Times New Roman;Times;Serif" w:hAnsi="Times New Roman;Times;Serif"/>
          <w:b w:val="false"/>
          <w:i w:val="false"/>
          <w:caps w:val="false"/>
          <w:smallCaps w:val="false"/>
          <w:sz w:val="20"/>
        </w:rPr>
        <w:t xml:space="preserve"> Any portion of a Participant’s Purchase Right remaining unexercised after the end of the Offering Period to which the Purchase Right relates shall expire immediately upon the end of the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Provision of Reports and Stockholder Information to Participants.</w:t>
      </w:r>
      <w:r>
        <w:rPr>
          <w:rFonts w:ascii="Times New Roman;Times;Serif" w:hAnsi="Times New Roman;Times;Serif"/>
          <w:b w:val="false"/>
          <w:i w:val="false"/>
          <w:caps w:val="false"/>
          <w:smallCaps w:val="false"/>
          <w:sz w:val="20"/>
        </w:rPr>
        <w:t xml:space="preserve"> Each Participant who has exercised all or part of his or her Purchase Right shall receive, as soon as practicable after the Purchase Date, a report of such Participant’s Plan account setting forth the total amount credited to his or her Plan account prior to such exercise, the number of shares of Stock purchased, the Purchase Price for such shares, the date of purchase and the cash balance, if any, remaining immediately after such purchase that is to be refunded or retained in the Participant’s Plan account pursuant to Section 11.4. The report required by this Section may be delivered in such form and by such means, including by electronic transmission, as the Company may determine. In addition, each Participant shall be provided information concerning the Company equivalent to that information provided generally to the Company’s common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Withdrawal from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Voluntary Withdrawal from the Plan.</w:t>
      </w:r>
      <w:r>
        <w:rPr>
          <w:rFonts w:ascii="Times New Roman;Times;Serif" w:hAnsi="Times New Roman;Times;Serif"/>
          <w:b w:val="false"/>
          <w:i w:val="false"/>
          <w:caps w:val="false"/>
          <w:smallCaps w:val="false"/>
          <w:sz w:val="20"/>
        </w:rPr>
        <w:t xml:space="preserve"> A Participant may withdraw from the Plan by signing and delivering to the Company office or representative designated by the Company (including a third-party administrator designated by the Company) a written or electronic notice of withdrawal on a form provided by the Company for this purpose. Such withdrawal may be elected at any time prior to the end of an Offering Period; provided, however, that if a Participant withdraws from the Plan after a Purchase Date, the withdrawal shall not affect shares of Stock acquired by the Participant on such Purchase Date. A Participant who voluntarily withdraws from the Plan is prohibited from resuming participation in the Plan in the same Offering from which he or she withdrew, but may participate in any subsequent Offering by again satisfying the requirements of Sections 5 and 7.1. The Company may impose, from time to time, a requirement that the notice of withdrawal from the Plan be on file with the Company office or representative designated by the Company for a reasonable period prior to the effectiveness of the Participant’s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Return of Plan Account Balance.</w:t>
      </w:r>
      <w:r>
        <w:rPr>
          <w:rFonts w:ascii="Times New Roman;Times;Serif" w:hAnsi="Times New Roman;Times;Serif"/>
          <w:b w:val="false"/>
          <w:i w:val="false"/>
          <w:caps w:val="false"/>
          <w:smallCaps w:val="false"/>
          <w:sz w:val="20"/>
        </w:rPr>
        <w:t xml:space="preserve"> Upon a Participant’s voluntary withdrawal from the Plan pursuant to Section 12.1, the Participant’s accumulated Plan account balance which has not been applied toward the purchase of shares of Stock shall be refunded to the Participant as soon as practicable after the withdrawal, without the payment of any interest, and the Participant’s interest in the Plan and the Offering shall terminate. Such amounts to be refunded in accordance with this Section may not be applied to any other Offering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Termination of Employment or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Participant’s ceasing, prior to a Purchase Date, to be an Employee of the Participating Company Group for any reason, including retirement, disability or death, or upon the failure of a Participant to remain an Eligible Employee, the Participant’s participation in the Plan shall terminate immediately. In such event, the Participant’s Plan account balance which has not been applied toward the purchase of shares of Stock shall, as soon as practicable, be returned to the Participant or, in the case of the Participant’s death, to the Participant’s beneficiary designated in accordance with Section 20, if any, or legal representative, and all of the Participant’s rights under the Plan shall terminate. Interest shall not be paid on sums returned pursuant to this Section 13. A Participant whose participation has been so terminated may again become eligible to participate in the Plan by satisfying the requirements of Sections 5 and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Effect of Change in Control on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the surviving, continuing, successor, or purchasing corporation or parent thereof, as the case may be (the “</w:t>
      </w:r>
      <w:r>
        <w:rPr>
          <w:rFonts w:ascii="Times New Roman;Times;Serif" w:hAnsi="Times New Roman;Times;Serif"/>
          <w:b/>
          <w:i w:val="false"/>
          <w:caps w:val="false"/>
          <w:smallCaps w:val="false"/>
          <w:sz w:val="20"/>
        </w:rPr>
        <w:t>Acquiring Corporation</w:t>
      </w:r>
      <w:r>
        <w:rPr>
          <w:rFonts w:ascii="Times New Roman;Times;Serif" w:hAnsi="Times New Roman;Times;Serif"/>
          <w:b w:val="false"/>
          <w:i w:val="false"/>
          <w:caps w:val="false"/>
          <w:smallCaps w:val="false"/>
          <w:sz w:val="20"/>
        </w:rPr>
        <w:t>”), may, without the consent of any Participant, assume or continue the Company’s rights and obligations under outstanding Purchase Rights or substitute substantially equivalent purchase rights for the Acquiring Corporation’s stock. If the Acquiring Corporation elects not to assume, continue or substitute for the outstanding Purchase Rights, the Purchase Date of the then current Offering Period shall be accelerated to a date before the date of the Change in Control specified by the Committee, but the number of shares of Stock subject to outstanding Purchase Rights shall not be adjusted. All Purchase Rights which are neither assumed or continued by the Acquiring Corporation in connection with the Change in Control nor exercised as of the date of the Change in Control shall terminate and cease to be outstanding effective as of the date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Nontransferability of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payroll deductions or other amounts credited to a Participant’s Plan account nor a Participant’s Purchase Right may be assigned, transferred, pledged or otherwise disposed of in any manner other than as provided by the Plan or by will or the laws of descent and distribution. (A beneficiary designation pursuant to Section 20 shall not be treated as a disposition for this purpose.) Any such attempted assignment, transfer, pledge or other disposition shall be without effect, except that the Company may treat such act as an election to withdraw from the Plan as provided in Section 12.1. A Purchase Right shall be exercisable during the lifetime of the Participant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Compliance with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under the Plan shall be subject to compliance with all applicable requirements of federal, state and foreign law with respect to such securities. A Purchase Right may not be exercised if the issuance of shares upon such exercise would constitute a violation of any applicable federal, state or foreign securities laws or other law or regulations or the requirements of any securities exchange or market system upon which the Stock may then be listed. In addition, no Purchase Right may be exercised unless (a) a registration statement under the Securities Act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Rights as a Stockholder and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shall have no rights as a stockholder by virtue of the Participant’s participation in the Plan until the date of the issuance of the shares of Stock purchased pursuant to the exercise of the Participant’s Purchase Right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4.2. Nothing herein shall confer upon a Participant any right to continue in the employ of the Participating Company Group or interfere in any way with any right of the Participating Company Group to terminate the Participant’s employment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Notification of Disposition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the Participant to give the Company prompt notice of any disposition of shares of Stock acquired by exercise of a Purchase Right. The Company may require that until such time as a Participant disposes of shares of Stock acquired upon exercise of a Purchase Right, the Participant shall hold all such shares in the Participant’s name until the later of two years after the date of grant of such Purchase Right or one year after the date of exercise of such Purchase Right. The Company may direct that the certificates evidencing shares of Stock acquired by exercise of a Purchase Right refer to such requirement to give prompt notice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place legends or other identifying symbols referencing any applicable federal, state or foreign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Designation of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w:t>
      </w:r>
      <w:r>
        <w:rPr>
          <w:rFonts w:ascii="Times New Roman;Times;Serif" w:hAnsi="Times New Roman;Times;Serif"/>
          <w:b w:val="false"/>
          <w:i w:val="false"/>
          <w:caps w:val="false"/>
          <w:smallCaps w:val="false"/>
          <w:sz w:val="20"/>
          <w:u w:val="single"/>
        </w:rPr>
        <w:t>Designation Procedure.</w:t>
      </w:r>
      <w:r>
        <w:rPr>
          <w:rFonts w:ascii="Times New Roman;Times;Serif" w:hAnsi="Times New Roman;Times;Serif"/>
          <w:b w:val="false"/>
          <w:i w:val="false"/>
          <w:caps w:val="false"/>
          <w:smallCaps w:val="false"/>
          <w:sz w:val="20"/>
        </w:rPr>
        <w:t xml:space="preserve"> Subject to local laws and procedures, a Participant may file a written designation of a beneficiary who is to receive (a) shares and cash, if any, from the Participant’s Plan account if the Participant dies subsequent to a Purchase Date but prior to delivery to the Participant of such shares and cash, or (b) cash, if any, from the Participant’s Plan account if the Participant dies prior to the exercise of the Participant’s Purchase Right. If a married Participant designates a beneficiary other than the Participant’s spouse, the effectiveness of such designation may be subject to the consent of the Participant’s spouse. A Participant may change his or her beneficiary designation at any time by written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w:t>
      </w:r>
      <w:r>
        <w:rPr>
          <w:rFonts w:ascii="Times New Roman;Times;Serif" w:hAnsi="Times New Roman;Times;Serif"/>
          <w:b w:val="false"/>
          <w:i w:val="false"/>
          <w:caps w:val="false"/>
          <w:smallCaps w:val="false"/>
          <w:sz w:val="20"/>
          <w:u w:val="single"/>
        </w:rPr>
        <w:t>Absence of Beneficiary Designation.</w:t>
      </w:r>
      <w:r>
        <w:rPr>
          <w:rFonts w:ascii="Times New Roman;Times;Serif" w:hAnsi="Times New Roman;Times;Serif"/>
          <w:b w:val="false"/>
          <w:i w:val="false"/>
          <w:caps w:val="false"/>
          <w:smallCaps w:val="false"/>
          <w:sz w:val="20"/>
        </w:rPr>
        <w:t xml:space="preserve"> If a Participant dies without an effective designation pursuant to Section 20.1 of a beneficiary who is living at the time of the Participant’s death, the Company shall deliver any shares or cash credited to the Participant’s Plan account to the Participant’s legal representative or as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Amendment or Termination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at any time amend, suspend or terminate the Plan, except that (a) no such amendment, suspension or termination shall affect Purchase Rights previously granted under the Plan unless expressly provided by the Committee, and (b) no such amendment, suspension or termination may adversely affect a Purchase Right previously granted under the Plan without the consent of the Participant, except to the extent permitted by the Plan or as may be necessary to qualify the Plan as an employee stock purchase plan pursuant to Section 423 of the Code or to comply with any applicable law, regulation or rule. In addition, an amendment to the Plan must be approved by the stockholders of the Company within twelve (12) months of the adoption of such amendment if such amendment would authorize the sale of more shares than are then authorized for issuance under the Plan or would change the definition of the corporations that may be designated by the Committee as Participating Companies. Notwithstanding the foregoing, in the event that the Committee determines that continuation of the Plan or an Offering would result in unfavorable financial accounting consequences to the Company, the Committee may, in its discretion and without the consent of any Participant, including with respect to an Offering Period then in progress: (i) terminate the Plan or any Offering Period, (ii) accelerate the Purchase Date of any Offering Period, (iii) reduce the discount or the method of determining the Purchase Price in any Offering Period (e.g., by determining the Purchase Price solely on the basis of the Fair Market Value on the Purchase Date), (iv) reduce the maximum number of shares of Stock that may be purchased in any Offering Period, or (v) take any combination of the foregoing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Board of Directors of the Company on March 24, 2020, and as adopted by the stockholders of the Company on June 8, 2020, and as amended by the Board of Directors of the Company on April 18, 2023 and adopted by the stockholders of the Company on June 6, 2023, and as amended by the Committee on April 18, 2024 and adopted by the stockholders of the Company on June 11, 2024, and as amended by the Board of Directors on April 21, 2025 and adopted by the stockholders of the Company on June 10, 2025, and as further amended by the Board on April 10, 2026 and adopted by the stockholders of the Company on 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tm2618119d2_ex-filingfees.htm"/>
      <w:bookmarkStart w:id="10" w:name="kstm2618119d2_exfilingfees"/>
      <w:bookmarkStart w:id="11" w:name="tm2618119d2_ex-filingfees.htm"/>
      <w:bookmarkStart w:id="12" w:name="kstm2618119d2_exfilingfees"/>
      <w:bookmarkEnd w:id="11"/>
      <w:bookmarkEnd w:id="12"/>
      <w:r>
        <w:br w:type="page"/>
      </w:r>
    </w:p>
    <w:tbl>
      <w:tblPr>
        <w:tblW w:w="4550" w:type="dxa"/>
        <w:jc w:val="left"/>
        <w:tblInd w:w="0" w:type="dxa"/>
        <w:tblLayout w:type="fixed"/>
        <w:tblCellMar>
          <w:top w:w="28" w:type="dxa"/>
          <w:left w:w="28" w:type="dxa"/>
          <w:bottom w:w="28" w:type="dxa"/>
          <w:right w:w="28" w:type="dxa"/>
        </w:tblCellMar>
      </w:tblPr>
      <w:tblGrid>
        <w:gridCol w:w="4396"/>
        <w:gridCol w:w="154"/>
      </w:tblGrid>
      <w:tr>
        <w:trPr/>
        <w:tc>
          <w:tcPr>
            <w:tcW w:w="455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39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396" w:type="dxa"/>
            <w:tcBorders/>
            <w:vAlign w:val="center"/>
          </w:tcPr>
          <w:p>
            <w:pPr>
              <w:pStyle w:val="TableContents"/>
              <w:bidi w:val="0"/>
              <w:spacing w:before="0" w:after="283"/>
              <w:jc w:val="left"/>
              <w:rPr>
                <w:b/>
              </w:rPr>
            </w:pPr>
            <w:r>
              <w:rPr>
                <w:b/>
              </w:rPr>
              <w:t xml:space="preserve">IOVANCE BIOTHERAPEUTICS,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59" w:type="dxa"/>
        <w:jc w:val="left"/>
        <w:tblInd w:w="0" w:type="dxa"/>
        <w:tblLayout w:type="fixed"/>
        <w:tblCellMar>
          <w:top w:w="28" w:type="dxa"/>
          <w:left w:w="28" w:type="dxa"/>
          <w:bottom w:w="28" w:type="dxa"/>
          <w:right w:w="28" w:type="dxa"/>
        </w:tblCellMar>
      </w:tblPr>
      <w:tblGrid>
        <w:gridCol w:w="241"/>
        <w:gridCol w:w="946"/>
        <w:gridCol w:w="1486"/>
        <w:gridCol w:w="1276"/>
        <w:gridCol w:w="1186"/>
        <w:gridCol w:w="1156"/>
        <w:gridCol w:w="154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8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486" w:type="dxa"/>
            <w:tcBorders/>
            <w:shd w:fill="E7E7E2" w:val="clear"/>
            <w:vAlign w:val="center"/>
          </w:tcPr>
          <w:p>
            <w:pPr>
              <w:pStyle w:val="TableContents"/>
              <w:bidi w:val="0"/>
              <w:spacing w:before="0" w:after="283"/>
              <w:jc w:val="left"/>
              <w:rPr/>
            </w:pPr>
            <w:r>
              <w:rPr/>
              <w:t xml:space="preserve">Common stock, par value $0.000041666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1,000,000 </w:t>
            </w:r>
          </w:p>
        </w:tc>
        <w:tc>
          <w:tcPr>
            <w:tcW w:w="1156" w:type="dxa"/>
            <w:tcBorders/>
            <w:shd w:fill="E7E7E2" w:val="clear"/>
            <w:vAlign w:val="center"/>
          </w:tcPr>
          <w:p>
            <w:pPr>
              <w:pStyle w:val="TableContents"/>
              <w:bidi w:val="0"/>
              <w:spacing w:before="0" w:after="283"/>
              <w:jc w:val="right"/>
              <w:rPr/>
            </w:pPr>
            <w:r>
              <w:rPr/>
              <w:t xml:space="preserve">$ 3.97 </w:t>
            </w:r>
          </w:p>
        </w:tc>
        <w:tc>
          <w:tcPr>
            <w:tcW w:w="1546" w:type="dxa"/>
            <w:tcBorders/>
            <w:shd w:fill="E7E7E2" w:val="clear"/>
            <w:vAlign w:val="center"/>
          </w:tcPr>
          <w:p>
            <w:pPr>
              <w:pStyle w:val="TableContents"/>
              <w:bidi w:val="0"/>
              <w:spacing w:before="0" w:after="283"/>
              <w:jc w:val="right"/>
              <w:rPr/>
            </w:pPr>
            <w:r>
              <w:rPr/>
              <w:t xml:space="preserve">$ 3,970,000.00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$ 548.26 </w:t>
            </w:r>
          </w:p>
        </w:tc>
      </w:tr>
      <w:tr>
        <w:trPr/>
        <w:tc>
          <w:tcPr>
            <w:tcW w:w="513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13" w:name="MaxAggtOfferingPrice"/>
            <w:bookmarkEnd w:id="13"/>
            <w:r>
              <w:rPr/>
              <w:t xml:space="preserve">$ 3,970,000.00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$ 548.26 </w:t>
            </w:r>
          </w:p>
        </w:tc>
      </w:tr>
      <w:tr>
        <w:trPr/>
        <w:tc>
          <w:tcPr>
            <w:tcW w:w="513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513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6" w:name="NetFeeAmt"/>
            <w:bookmarkEnd w:id="16"/>
            <w:r>
              <w:rPr/>
              <w:t xml:space="preserve">$ 548.26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the Registrant's common stock that becomes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 (2) Represents 1,000,000 additional shares of common stock reserved for issuance under the Registrant's 2020 Employee Stock Purchase Plan, as amended. (3) Estimated in accordance with Rule 457(c) and (h) under the Securities Act solely for the purpose of calculating the registration fee on the basis of $3.97, the average of the high and low prices of the Registrant's common stock as reported on The Nasdaq Global Market on June 16,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5205/000110465920075292/tm2022895d2_s8.htm" TargetMode="External"/><Relationship Id="rId3" Type="http://schemas.openxmlformats.org/officeDocument/2006/relationships/hyperlink" Target="http://www.sec.gov/Archives/edgar/data/1425205/000110465923070377/tm2318276d1_s8.htm" TargetMode="External"/><Relationship Id="rId4" Type="http://schemas.openxmlformats.org/officeDocument/2006/relationships/hyperlink" Target="http://www.sec.gov/Archives/edgar/data/1425205/000110465924087391/tm2419806d2_s8.htm" TargetMode="External"/><Relationship Id="rId5" Type="http://schemas.openxmlformats.org/officeDocument/2006/relationships/hyperlink" Target="https://www.sec.gov/Archives/edgar/data/1425205/000110465925110496/tm2522540d2_s8.htm" TargetMode="External"/><Relationship Id="rId6" Type="http://schemas.openxmlformats.org/officeDocument/2006/relationships/hyperlink" Target="http://www.sec.gov/Archives/edgar/data/1425205/000110465920075292/tm2022895d2_s8.htm" TargetMode="External"/><Relationship Id="rId7" Type="http://schemas.openxmlformats.org/officeDocument/2006/relationships/hyperlink" Target="http://www.sec.gov/Archives/edgar/data/1425205/000110465923070377/tm2318276d1_s8.htm" TargetMode="External"/><Relationship Id="rId8" Type="http://schemas.openxmlformats.org/officeDocument/2006/relationships/hyperlink" Target="http://www.sec.gov/Archives/edgar/data/1425205/000110465924087391/tm2419806d2_s8.htm" TargetMode="External"/><Relationship Id="rId9" Type="http://schemas.openxmlformats.org/officeDocument/2006/relationships/hyperlink" Target="https://www.sec.gov/Archives/edgar/data/1425205/000110465925110496/tm2522540d2_s8.htm" TargetMode="External"/><Relationship Id="rId10" Type="http://schemas.openxmlformats.org/officeDocument/2006/relationships/hyperlink" Target="https://www.sec.gov/Archives/edgar/data/1425205/000110465926075778/iova-20260618xex3d1.htm" TargetMode="External"/><Relationship Id="rId11" Type="http://schemas.openxmlformats.org/officeDocument/2006/relationships/hyperlink" Target="https://www.sec.gov/Archives/edgar/data/1425205/000110465926075778/iova-20260618xex3d1.htm" TargetMode="External"/><Relationship Id="rId12" Type="http://schemas.openxmlformats.org/officeDocument/2006/relationships/hyperlink" Target="http://www.sec.gov/Archives/edgar/data/1425205/000110465924041200/tm2410183d1_ex3-1.htm" TargetMode="External"/><Relationship Id="rId13" Type="http://schemas.openxmlformats.org/officeDocument/2006/relationships/hyperlink" Target="http://www.sec.gov/Archives/edgar/data/1425205/000110465924041200/tm2410183d1_ex3-1.htm" TargetMode="External"/><Relationship Id="rId14" Type="http://schemas.openxmlformats.org/officeDocument/2006/relationships/hyperlink" Target="http://www.sec.gov/Archives/edgar/data/1425205/000114420418014151/tv485173_ex4-2.htm" TargetMode="External"/><Relationship Id="rId15" Type="http://schemas.openxmlformats.org/officeDocument/2006/relationships/hyperlink" Target="http://www.sec.gov/Archives/edgar/data/1425205/000114420418014151/tv485173_ex4-2.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10839</Words>
  <Characters>56776</Characters>
  <CharactersWithSpaces>68679</CharactersWithSpaces>
  <Paragraphs>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